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DDE4D" w14:textId="2E81C85D" w:rsidR="009E7346" w:rsidRDefault="003B566D" w:rsidP="009E7346">
      <w:pPr>
        <w:rPr>
          <w:b/>
          <w:bCs/>
        </w:rPr>
      </w:pPr>
      <w:r w:rsidRPr="003B566D">
        <w:rPr>
          <w:b/>
          <w:bCs/>
        </w:rPr>
        <w:t>Statistical Analysis</w:t>
      </w:r>
    </w:p>
    <w:p w14:paraId="3DEEFE6E" w14:textId="5F336B20" w:rsidR="00514DFD" w:rsidRDefault="000E6878" w:rsidP="0048222F">
      <w:r>
        <w:t xml:space="preserve">We grouped repeated survey statements from the pre- and post-training surveys into composite themes: </w:t>
      </w:r>
      <w:commentRangeStart w:id="0"/>
      <w:r w:rsidR="00514DFD" w:rsidRPr="000E6878">
        <w:rPr>
          <w:i/>
          <w:iCs/>
        </w:rPr>
        <w:t>Spider Interest</w:t>
      </w:r>
      <w:r w:rsidR="00514DFD">
        <w:t xml:space="preserve">, </w:t>
      </w:r>
      <w:r w:rsidR="00514DFD" w:rsidRPr="000E6878">
        <w:rPr>
          <w:i/>
          <w:iCs/>
        </w:rPr>
        <w:t>Spider Phobia</w:t>
      </w:r>
      <w:r w:rsidR="00514DFD">
        <w:t xml:space="preserve">, </w:t>
      </w:r>
      <w:r w:rsidR="00514DFD" w:rsidRPr="000E6878">
        <w:rPr>
          <w:i/>
          <w:iCs/>
        </w:rPr>
        <w:t>Intent to Engage</w:t>
      </w:r>
      <w:r w:rsidR="00514DFD">
        <w:t xml:space="preserve">, </w:t>
      </w:r>
      <w:r w:rsidR="00514DFD" w:rsidRPr="000E6878">
        <w:rPr>
          <w:i/>
          <w:iCs/>
        </w:rPr>
        <w:t>Attainment Value</w:t>
      </w:r>
      <w:r w:rsidR="00514DFD">
        <w:t xml:space="preserve">, </w:t>
      </w:r>
      <w:r w:rsidR="00514DFD" w:rsidRPr="000E6878">
        <w:rPr>
          <w:i/>
          <w:iCs/>
        </w:rPr>
        <w:t>Cost Belief Value</w:t>
      </w:r>
      <w:r w:rsidR="00514DFD">
        <w:t xml:space="preserve">, </w:t>
      </w:r>
      <w:r w:rsidR="00514DFD" w:rsidRPr="000E6878">
        <w:rPr>
          <w:i/>
          <w:iCs/>
        </w:rPr>
        <w:t>Science Communication</w:t>
      </w:r>
      <w:r w:rsidR="00514DFD">
        <w:t xml:space="preserve"> </w:t>
      </w:r>
      <w:r w:rsidR="00514DFD" w:rsidRPr="000E6878">
        <w:rPr>
          <w:i/>
          <w:iCs/>
        </w:rPr>
        <w:t>Confidence</w:t>
      </w:r>
      <w:r w:rsidR="00514DFD">
        <w:t xml:space="preserve">, </w:t>
      </w:r>
      <w:r w:rsidR="00514DFD" w:rsidRPr="000E6878">
        <w:rPr>
          <w:i/>
          <w:iCs/>
        </w:rPr>
        <w:t>Communication Confidence</w:t>
      </w:r>
      <w:r w:rsidR="00514DFD">
        <w:t xml:space="preserve">, </w:t>
      </w:r>
      <w:r w:rsidR="00514DFD" w:rsidRPr="000E6878">
        <w:rPr>
          <w:i/>
          <w:iCs/>
        </w:rPr>
        <w:t>Science Identity</w:t>
      </w:r>
      <w:r w:rsidR="00514DFD">
        <w:t xml:space="preserve">, and </w:t>
      </w:r>
      <w:r w:rsidR="00514DFD" w:rsidRPr="000E6878">
        <w:rPr>
          <w:i/>
          <w:iCs/>
        </w:rPr>
        <w:t>Echo Chambers</w:t>
      </w:r>
      <w:r w:rsidR="00514DFD">
        <w:t xml:space="preserve">. </w:t>
      </w:r>
      <w:commentRangeEnd w:id="0"/>
      <w:r w:rsidR="0048222F">
        <w:rPr>
          <w:rStyle w:val="CommentReference"/>
        </w:rPr>
        <w:commentReference w:id="0"/>
      </w:r>
      <w:r w:rsidR="00514DFD">
        <w:t xml:space="preserve">We calculated composite scores for each theme by summing the response values </w:t>
      </w:r>
      <w:r>
        <w:t>per</w:t>
      </w:r>
      <w:r w:rsidR="00514DFD">
        <w:t xml:space="preserve"> participant, reversing </w:t>
      </w:r>
      <w:r>
        <w:t xml:space="preserve">the </w:t>
      </w:r>
      <w:r w:rsidR="00514DFD">
        <w:t xml:space="preserve">response option values for </w:t>
      </w:r>
      <w:commentRangeStart w:id="1"/>
      <w:r w:rsidR="00514DFD">
        <w:t>statements with opposing tones</w:t>
      </w:r>
      <w:commentRangeEnd w:id="1"/>
      <w:r w:rsidR="00514DFD">
        <w:rPr>
          <w:rStyle w:val="CommentReference"/>
        </w:rPr>
        <w:commentReference w:id="1"/>
      </w:r>
      <w:r w:rsidR="00514DFD">
        <w:t xml:space="preserve">. </w:t>
      </w:r>
      <w:r w:rsidR="002E34D1">
        <w:t>We only included participants who responded to all statements within a composite theme.</w:t>
      </w:r>
    </w:p>
    <w:p w14:paraId="182E729A" w14:textId="77777777" w:rsidR="000E6878" w:rsidRDefault="000E6878" w:rsidP="0048222F">
      <w:r>
        <w:t>We</w:t>
      </w:r>
      <w:r w:rsidR="00514DFD">
        <w:t xml:space="preserve"> first </w:t>
      </w:r>
      <w:r>
        <w:t>assessed</w:t>
      </w:r>
      <w:r w:rsidR="00514DFD">
        <w:t xml:space="preserve"> </w:t>
      </w:r>
      <w:r>
        <w:t>normality using</w:t>
      </w:r>
      <w:r w:rsidR="00514DFD">
        <w:t xml:space="preserve"> Shapiro-Wilk tests. </w:t>
      </w:r>
      <w:r>
        <w:t>If the data were normally distributed, w</w:t>
      </w:r>
      <w:r w:rsidR="00514DFD">
        <w:t xml:space="preserve">e proceeded to use parametric tests. </w:t>
      </w:r>
      <w:r>
        <w:t>When</w:t>
      </w:r>
      <w:r w:rsidR="00514DFD">
        <w:t xml:space="preserve"> not normally distributed, we computed parametric and non-parametric tests and reported the parametric </w:t>
      </w:r>
      <w:r>
        <w:t>results when the conclusions were consistent across approaches</w:t>
      </w:r>
      <w:r w:rsidR="00514DFD">
        <w:t xml:space="preserve">. </w:t>
      </w:r>
    </w:p>
    <w:p w14:paraId="62066427" w14:textId="77777777" w:rsidR="000E6878" w:rsidRDefault="00514DFD" w:rsidP="0048222F">
      <w:r>
        <w:t xml:space="preserve">To </w:t>
      </w:r>
      <w:r w:rsidR="000E6878">
        <w:t>identify</w:t>
      </w:r>
      <w:r>
        <w:t xml:space="preserve"> pre-training perceptions </w:t>
      </w:r>
      <w:r w:rsidR="000E6878">
        <w:t>associated with participation in the</w:t>
      </w:r>
      <w:r>
        <w:t xml:space="preserve"> optional culminat</w:t>
      </w:r>
      <w:r w:rsidR="000E6878">
        <w:t>ing</w:t>
      </w:r>
      <w:r>
        <w:t xml:space="preserve"> outreach event (</w:t>
      </w:r>
      <w:r w:rsidRPr="000E6878">
        <w:rPr>
          <w:i/>
          <w:iCs/>
        </w:rPr>
        <w:t>Eight-Legged Encounters</w:t>
      </w:r>
      <w:r>
        <w:t xml:space="preserve">, or ELE), we compared pre-training composite scores for each composite theme between those who did and did not participate in ELE using unpaired t-tests (or Mann-Whitney U-tests). We used Chi-squared </w:t>
      </w:r>
      <w:r w:rsidR="000E6878">
        <w:t>tests</w:t>
      </w:r>
      <w:r>
        <w:t xml:space="preserve"> to additionally </w:t>
      </w:r>
      <w:r w:rsidR="000E6878">
        <w:t>assess</w:t>
      </w:r>
      <w:r>
        <w:t xml:space="preserve"> whether gender or previous science communication </w:t>
      </w:r>
      <w:r w:rsidR="000E6878">
        <w:t xml:space="preserve">experience </w:t>
      </w:r>
      <w:r>
        <w:t xml:space="preserve">predicted ELE participation. </w:t>
      </w:r>
    </w:p>
    <w:p w14:paraId="1EB14EF8" w14:textId="1EF99378" w:rsidR="00514DFD" w:rsidRDefault="00514DFD" w:rsidP="0048222F">
      <w:r>
        <w:t xml:space="preserve">To </w:t>
      </w:r>
      <w:r w:rsidR="000E6878">
        <w:t>determine</w:t>
      </w:r>
      <w:r>
        <w:t xml:space="preserve"> </w:t>
      </w:r>
      <w:r w:rsidR="000E6878">
        <w:t xml:space="preserve">whether ELE participation led to different </w:t>
      </w:r>
      <w:r>
        <w:t xml:space="preserve">shifts in composite scores </w:t>
      </w:r>
      <w:r w:rsidR="000E6878">
        <w:t>(post</w:t>
      </w:r>
      <w:r w:rsidR="0048222F">
        <w:t>-</w:t>
      </w:r>
      <w:r w:rsidR="000E6878">
        <w:t xml:space="preserve"> minus pre</w:t>
      </w:r>
      <w:r w:rsidR="0048222F">
        <w:t>-</w:t>
      </w:r>
      <w:r w:rsidR="000E6878">
        <w:t>scores) than participants who only completed the training modules</w:t>
      </w:r>
      <w:r>
        <w:t xml:space="preserve">, we used unpaired t-test (or Mann-Whitney U-tests). </w:t>
      </w:r>
      <w:r w:rsidR="000E6878">
        <w:t xml:space="preserve">To assess training impacts on individual statements, we tested pre- and post-training responses </w:t>
      </w:r>
      <w:r>
        <w:t>using paired t-tests (or Wilcoxon Signed-Rank tests), applying Bonferroni correction</w:t>
      </w:r>
      <w:r w:rsidR="000E6878">
        <w:t>s</w:t>
      </w:r>
      <w:r>
        <w:t xml:space="preserve"> within </w:t>
      </w:r>
      <w:r w:rsidR="000E6878">
        <w:t>each</w:t>
      </w:r>
      <w:r>
        <w:t xml:space="preserve"> theme.</w:t>
      </w:r>
    </w:p>
    <w:p w14:paraId="580E6AEC" w14:textId="3B0F791E" w:rsidR="00514DFD" w:rsidRDefault="000E6878" w:rsidP="0048222F">
      <w:r>
        <w:t>To assess the roles of gender and previous experience (with arachnids or science communication), we tested whether pre</w:t>
      </w:r>
      <w:r w:rsidR="00514DFD">
        <w:t xml:space="preserve">-training scores or </w:t>
      </w:r>
      <w:r>
        <w:t xml:space="preserve">their </w:t>
      </w:r>
      <w:r w:rsidR="00514DFD">
        <w:t>pre-to</w:t>
      </w:r>
      <w:r>
        <w:t>-</w:t>
      </w:r>
      <w:r w:rsidR="00514DFD">
        <w:t xml:space="preserve">post </w:t>
      </w:r>
      <w:r>
        <w:t>changes</w:t>
      </w:r>
      <w:r w:rsidR="00514DFD">
        <w:t xml:space="preserve"> varied by gender or </w:t>
      </w:r>
      <w:r>
        <w:t>prior</w:t>
      </w:r>
      <w:r w:rsidR="00514DFD">
        <w:t xml:space="preserve"> science communication experience (</w:t>
      </w:r>
      <w:r>
        <w:t xml:space="preserve">for </w:t>
      </w:r>
      <w:r w:rsidR="0048222F">
        <w:t>non-spider</w:t>
      </w:r>
      <w:r w:rsidR="00514DFD">
        <w:t>-related themes</w:t>
      </w:r>
      <w:r>
        <w:t>; including informal science learning and after-school STEM education</w:t>
      </w:r>
      <w:r w:rsidR="00514DFD">
        <w:t>)</w:t>
      </w:r>
      <w:r>
        <w:t>, and</w:t>
      </w:r>
      <w:r w:rsidR="00514DFD">
        <w:t xml:space="preserve"> </w:t>
      </w:r>
      <w:r>
        <w:t>repeated analyses of spider-related themes excluding participants with</w:t>
      </w:r>
      <w:r w:rsidR="00514DFD">
        <w:t xml:space="preserve"> previous arachnid experience (</w:t>
      </w:r>
      <w:r>
        <w:t xml:space="preserve">e.g., </w:t>
      </w:r>
      <w:r w:rsidR="00514DFD">
        <w:t>coursework or research).</w:t>
      </w:r>
    </w:p>
    <w:p w14:paraId="449BF759" w14:textId="6813C374" w:rsidR="0048222F" w:rsidRPr="00514DFD" w:rsidRDefault="0048222F" w:rsidP="0048222F">
      <w:r>
        <w:t>All analyses were completed in R [ADD VERSIONS, PACKAGES, CITATIONS].</w:t>
      </w:r>
    </w:p>
    <w:p w14:paraId="4A23DC12" w14:textId="0D027FEC" w:rsidR="003B566D" w:rsidRDefault="003B566D">
      <w:pPr>
        <w:rPr>
          <w:b/>
          <w:bCs/>
        </w:rPr>
      </w:pPr>
      <w:r>
        <w:rPr>
          <w:b/>
          <w:bCs/>
        </w:rPr>
        <w:t>RESULTS</w:t>
      </w:r>
    </w:p>
    <w:p w14:paraId="4D9319C9" w14:textId="67278C48" w:rsidR="00DA49F3" w:rsidRDefault="00DA49F3" w:rsidP="00A809DF">
      <w:pPr>
        <w:jc w:val="both"/>
      </w:pPr>
      <w:r>
        <w:t xml:space="preserve">Across three training </w:t>
      </w:r>
      <w:r w:rsidR="000E6878">
        <w:t>sessions</w:t>
      </w:r>
      <w:r>
        <w:t xml:space="preserve"> (Spring 2022, Fall 2022, Spring 2023), 110 participants completed at least one survey </w:t>
      </w:r>
      <w:r w:rsidR="008055B3">
        <w:t>–</w:t>
      </w:r>
      <w:r>
        <w:t xml:space="preserve"> </w:t>
      </w:r>
      <w:r w:rsidR="008055B3">
        <w:t xml:space="preserve">pre-training survey, four post-module surveys, </w:t>
      </w:r>
      <w:r>
        <w:t>and/</w:t>
      </w:r>
      <w:r w:rsidR="008055B3">
        <w:t xml:space="preserve">or post-training survey </w:t>
      </w:r>
      <w:r w:rsidR="005F0FFE">
        <w:t>(Figure S1)</w:t>
      </w:r>
      <w:r w:rsidR="008055B3">
        <w:t>. Of th</w:t>
      </w:r>
      <w:r w:rsidR="000E6878">
        <w:t>e</w:t>
      </w:r>
      <w:r w:rsidR="008055B3">
        <w:t xml:space="preserve">se, 93 participants completed at least one of the </w:t>
      </w:r>
      <w:commentRangeStart w:id="2"/>
      <w:r w:rsidR="008055B3">
        <w:t xml:space="preserve">four </w:t>
      </w:r>
      <w:commentRangeEnd w:id="2"/>
      <w:r w:rsidR="005F0FFE">
        <w:rPr>
          <w:rStyle w:val="CommentReference"/>
        </w:rPr>
        <w:commentReference w:id="2"/>
      </w:r>
      <w:r w:rsidR="008055B3">
        <w:t>post-</w:t>
      </w:r>
      <w:r w:rsidR="008055B3">
        <w:lastRenderedPageBreak/>
        <w:t>module surveys</w:t>
      </w:r>
      <w:r>
        <w:t xml:space="preserve"> (Figure S2A), </w:t>
      </w:r>
      <w:r w:rsidR="000E6878">
        <w:t>with most agreeing</w:t>
      </w:r>
      <w:r>
        <w:t xml:space="preserve"> that the module</w:t>
      </w:r>
      <w:r w:rsidR="000E6878">
        <w:t>s</w:t>
      </w:r>
      <w:r>
        <w:t xml:space="preserve"> </w:t>
      </w:r>
      <w:r w:rsidR="000E6878">
        <w:t>effectively</w:t>
      </w:r>
      <w:r>
        <w:t xml:space="preserve"> me</w:t>
      </w:r>
      <w:r w:rsidR="000E6878">
        <w:t>t</w:t>
      </w:r>
      <w:r>
        <w:t xml:space="preserve"> </w:t>
      </w:r>
      <w:r w:rsidR="000E6878">
        <w:t>the</w:t>
      </w:r>
      <w:r>
        <w:t xml:space="preserve"> objectives (Figure S2B)</w:t>
      </w:r>
      <w:r w:rsidR="008055B3">
        <w:t>.</w:t>
      </w:r>
      <w:r>
        <w:t xml:space="preserve"> </w:t>
      </w:r>
    </w:p>
    <w:p w14:paraId="155E3A4C" w14:textId="1DDCE80B" w:rsidR="00A809DF" w:rsidRDefault="000E6878" w:rsidP="0048222F">
      <w:pPr>
        <w:jc w:val="both"/>
      </w:pPr>
      <w:r>
        <w:t>To evaluate the outcomes of the training, we focused on the 68 participants who submitted both the pre- and post-training surveys (see Figure S3 for demographics). Excluding the 9 participants with previous arachnid experience did not change the model outcomes for spider-related themes</w:t>
      </w:r>
      <w:r w:rsidR="002E34D1">
        <w:t>, so we included these participants in all analyses</w:t>
      </w:r>
      <w:r>
        <w:t xml:space="preserve">. </w:t>
      </w:r>
      <w:r w:rsidR="00DA49F3">
        <w:t xml:space="preserve">Previous science communication </w:t>
      </w:r>
      <w:r>
        <w:t xml:space="preserve">experience </w:t>
      </w:r>
      <w:r w:rsidR="00DA49F3">
        <w:t>(</w:t>
      </w:r>
      <w:r>
        <w:t>reported by</w:t>
      </w:r>
      <w:r w:rsidR="00DA49F3">
        <w:t xml:space="preserve"> 37 out of 68 participants) </w:t>
      </w:r>
      <w:r>
        <w:t xml:space="preserve">did not affect pre-training scores or shifts in scores for any theme (Table 1). </w:t>
      </w:r>
    </w:p>
    <w:p w14:paraId="6FB5572C" w14:textId="1A4BED3C" w:rsidR="003B566D" w:rsidRDefault="003B566D">
      <w:pPr>
        <w:rPr>
          <w:b/>
          <w:bCs/>
        </w:rPr>
      </w:pPr>
      <w:r w:rsidRPr="003B566D">
        <w:rPr>
          <w:b/>
          <w:bCs/>
        </w:rPr>
        <w:t xml:space="preserve">Pre-Training </w:t>
      </w:r>
      <w:r w:rsidR="000E6878">
        <w:rPr>
          <w:b/>
          <w:bCs/>
        </w:rPr>
        <w:t>Perceptions Predict ELE Participation</w:t>
      </w:r>
    </w:p>
    <w:p w14:paraId="65970825" w14:textId="733D8EAE" w:rsidR="00DA49F3" w:rsidRPr="00DA49F3" w:rsidRDefault="00DA49F3">
      <w:r>
        <w:t xml:space="preserve">Participants </w:t>
      </w:r>
      <w:r w:rsidR="000E6878">
        <w:t xml:space="preserve">were more likely to participate in </w:t>
      </w:r>
      <w:r w:rsidR="000E6878" w:rsidRPr="000E6878">
        <w:rPr>
          <w:i/>
          <w:iCs/>
        </w:rPr>
        <w:t>Eight-Legged-Encounters</w:t>
      </w:r>
      <w:r w:rsidR="000E6878">
        <w:t xml:space="preserve"> (ELE) if they: had a</w:t>
      </w:r>
      <w:r>
        <w:t xml:space="preserve"> greater interest in spiders, </w:t>
      </w:r>
      <w:r w:rsidR="000E6878">
        <w:t xml:space="preserve">had </w:t>
      </w:r>
      <w:r>
        <w:t xml:space="preserve">a greater intention to engage in science communication, </w:t>
      </w:r>
      <w:r w:rsidR="000E6878">
        <w:t xml:space="preserve">had </w:t>
      </w:r>
      <w:r>
        <w:t xml:space="preserve">a higher </w:t>
      </w:r>
      <w:r w:rsidR="000E6878">
        <w:t xml:space="preserve">science </w:t>
      </w:r>
      <w:r>
        <w:t xml:space="preserve">identity, </w:t>
      </w:r>
      <w:r w:rsidR="000E6878">
        <w:t xml:space="preserve">and </w:t>
      </w:r>
      <w:r>
        <w:t>plac</w:t>
      </w:r>
      <w:r w:rsidR="000E6878">
        <w:t>ed</w:t>
      </w:r>
      <w:r>
        <w:t xml:space="preserve"> greater value and lower costs on science communication (Figure 1; Table 1). </w:t>
      </w:r>
      <w:r w:rsidR="000E6878">
        <w:t>G</w:t>
      </w:r>
      <w:r>
        <w:t>ender (</w:t>
      </w:r>
      <w:r w:rsidRPr="00DA49F3">
        <w:rPr>
          <w:rFonts w:ascii="Symbol" w:hAnsi="Symbol"/>
          <w:i/>
          <w:iCs/>
        </w:rPr>
        <w:t>C</w:t>
      </w:r>
      <w:r w:rsidR="004D16F8">
        <w:rPr>
          <w:rFonts w:ascii="Symbol" w:hAnsi="Symbol"/>
          <w:i/>
          <w:iCs/>
          <w:vertAlign w:val="subscript"/>
        </w:rPr>
        <w:t>1</w:t>
      </w:r>
      <w:r w:rsidRPr="00DA49F3">
        <w:rPr>
          <w:rFonts w:ascii="Symbol" w:hAnsi="Symbol"/>
          <w:i/>
          <w:iCs/>
          <w:vertAlign w:val="superscript"/>
        </w:rPr>
        <w:t xml:space="preserve">2 </w:t>
      </w:r>
      <w:r w:rsidRPr="006D5FBF">
        <w:t>= 0</w:t>
      </w:r>
      <w:r>
        <w:t>.000</w:t>
      </w:r>
      <w:r w:rsidRPr="006D5FBF">
        <w:t xml:space="preserve">, </w:t>
      </w:r>
      <w:r w:rsidRPr="00DA49F3">
        <w:rPr>
          <w:i/>
          <w:iCs/>
        </w:rPr>
        <w:t xml:space="preserve">P </w:t>
      </w:r>
      <w:r w:rsidRPr="006D5FBF">
        <w:t>= 1</w:t>
      </w:r>
      <w:r>
        <w:t>.000)</w:t>
      </w:r>
      <w:r w:rsidR="000E6878">
        <w:t xml:space="preserve">, </w:t>
      </w:r>
      <w:r>
        <w:t>previous science communication experience (</w:t>
      </w:r>
      <w:r w:rsidRPr="00DA49F3">
        <w:rPr>
          <w:rFonts w:ascii="Symbol" w:hAnsi="Symbol"/>
          <w:i/>
          <w:iCs/>
        </w:rPr>
        <w:t>C</w:t>
      </w:r>
      <w:r w:rsidR="004D16F8">
        <w:rPr>
          <w:rFonts w:ascii="Symbol" w:hAnsi="Symbol"/>
          <w:i/>
          <w:iCs/>
          <w:vertAlign w:val="subscript"/>
        </w:rPr>
        <w:t>1</w:t>
      </w:r>
      <w:r w:rsidRPr="00DA49F3">
        <w:rPr>
          <w:rFonts w:ascii="Symbol" w:hAnsi="Symbol"/>
          <w:i/>
          <w:iCs/>
          <w:vertAlign w:val="superscript"/>
        </w:rPr>
        <w:t>2</w:t>
      </w:r>
      <w:r>
        <w:t xml:space="preserve"> </w:t>
      </w:r>
      <w:r w:rsidRPr="006D5FBF">
        <w:t xml:space="preserve">= 0.747, </w:t>
      </w:r>
      <w:r w:rsidRPr="00DA49F3">
        <w:rPr>
          <w:i/>
          <w:iCs/>
        </w:rPr>
        <w:t>P</w:t>
      </w:r>
      <w:r>
        <w:t xml:space="preserve"> </w:t>
      </w:r>
      <w:r w:rsidRPr="006D5FBF">
        <w:t>= 0.387</w:t>
      </w:r>
      <w:r>
        <w:t>)</w:t>
      </w:r>
      <w:r w:rsidR="000E6878">
        <w:t xml:space="preserve">, and </w:t>
      </w:r>
      <w:r>
        <w:t xml:space="preserve">the </w:t>
      </w:r>
      <w:r w:rsidR="000E6878">
        <w:t>other</w:t>
      </w:r>
      <w:r>
        <w:t xml:space="preserve"> themes (Table 1) </w:t>
      </w:r>
      <w:r w:rsidR="000E6878">
        <w:t>did not predict ELE</w:t>
      </w:r>
      <w:r>
        <w:t xml:space="preserve"> participatio</w:t>
      </w:r>
      <w:r w:rsidR="000E6878">
        <w:t>n</w:t>
      </w:r>
      <w:r>
        <w:t xml:space="preserve">. </w:t>
      </w:r>
      <w:r w:rsidRPr="000E6878">
        <w:rPr>
          <w:i/>
          <w:iCs/>
        </w:rPr>
        <w:t xml:space="preserve">Spider </w:t>
      </w:r>
      <w:r w:rsidR="000E6878" w:rsidRPr="000E6878">
        <w:rPr>
          <w:i/>
          <w:iCs/>
        </w:rPr>
        <w:t>P</w:t>
      </w:r>
      <w:r w:rsidRPr="000E6878">
        <w:rPr>
          <w:i/>
          <w:iCs/>
        </w:rPr>
        <w:t>hobia</w:t>
      </w:r>
      <w:r>
        <w:t xml:space="preserve"> </w:t>
      </w:r>
      <w:r w:rsidR="000E6878">
        <w:t>was</w:t>
      </w:r>
      <w:r>
        <w:t xml:space="preserve"> the only </w:t>
      </w:r>
      <w:r w:rsidR="000E6878">
        <w:t xml:space="preserve">theme where </w:t>
      </w:r>
      <w:r>
        <w:t>pre-training composite score</w:t>
      </w:r>
      <w:r w:rsidR="000E6878">
        <w:t>s</w:t>
      </w:r>
      <w:r>
        <w:t xml:space="preserve"> varied by gender – females </w:t>
      </w:r>
      <w:r w:rsidR="000E6878">
        <w:t>reported higher baseline phobia scores</w:t>
      </w:r>
      <w:r>
        <w:t xml:space="preserve"> (+1 composite score difference) than males (Table 1). </w:t>
      </w:r>
    </w:p>
    <w:p w14:paraId="1693C35B" w14:textId="62F0D3D7" w:rsidR="003B566D" w:rsidRDefault="003B566D">
      <w:pPr>
        <w:rPr>
          <w:b/>
          <w:bCs/>
        </w:rPr>
      </w:pPr>
      <w:r w:rsidRPr="003B566D">
        <w:rPr>
          <w:b/>
          <w:bCs/>
        </w:rPr>
        <w:t>Training</w:t>
      </w:r>
      <w:r w:rsidR="000E6878">
        <w:rPr>
          <w:b/>
          <w:bCs/>
        </w:rPr>
        <w:t xml:space="preserve"> </w:t>
      </w:r>
      <w:r w:rsidRPr="003B566D">
        <w:rPr>
          <w:b/>
          <w:bCs/>
        </w:rPr>
        <w:t>Induced Shifts in</w:t>
      </w:r>
      <w:r w:rsidR="000E6878">
        <w:rPr>
          <w:b/>
          <w:bCs/>
        </w:rPr>
        <w:t xml:space="preserve"> Spider and Science Communication </w:t>
      </w:r>
      <w:r w:rsidRPr="003B566D">
        <w:rPr>
          <w:b/>
          <w:bCs/>
        </w:rPr>
        <w:t>Perceptions</w:t>
      </w:r>
    </w:p>
    <w:p w14:paraId="56BDB884" w14:textId="2389772F" w:rsidR="00DA49F3" w:rsidRDefault="004D16F8" w:rsidP="0048222F">
      <w:r>
        <w:t>When asked directly</w:t>
      </w:r>
      <w:r w:rsidR="000E6878">
        <w:t xml:space="preserve">, 70% of participants reported improved attitudes toward spiders, and 89% reported increased interest in science communication after the training </w:t>
      </w:r>
      <w:r>
        <w:t xml:space="preserve">(Figure 2A, C). ELE </w:t>
      </w:r>
      <w:r w:rsidR="000E6878">
        <w:t>participation was associated with significantly improved</w:t>
      </w:r>
      <w:r>
        <w:t xml:space="preserve"> attitudes toward spiders (Figure 2B; </w:t>
      </w:r>
      <w:r w:rsidRPr="004D16F8">
        <w:rPr>
          <w:i/>
          <w:iCs/>
        </w:rPr>
        <w:t xml:space="preserve">t </w:t>
      </w:r>
      <w:r w:rsidRPr="00FB6420">
        <w:t>= 3.10</w:t>
      </w:r>
      <w:r>
        <w:t>3</w:t>
      </w:r>
      <w:r w:rsidRPr="00FB6420">
        <w:t>,</w:t>
      </w:r>
      <w:r w:rsidRPr="004D16F8">
        <w:rPr>
          <w:i/>
          <w:iCs/>
        </w:rPr>
        <w:t xml:space="preserve"> </w:t>
      </w:r>
      <w:proofErr w:type="spellStart"/>
      <w:r w:rsidRPr="004D16F8">
        <w:rPr>
          <w:i/>
          <w:iCs/>
        </w:rPr>
        <w:t>df</w:t>
      </w:r>
      <w:proofErr w:type="spellEnd"/>
      <w:r w:rsidRPr="00FB6420">
        <w:t xml:space="preserve"> = 42.353, </w:t>
      </w:r>
      <w:r w:rsidRPr="004D16F8">
        <w:rPr>
          <w:i/>
          <w:iCs/>
        </w:rPr>
        <w:t>P</w:t>
      </w:r>
      <w:r w:rsidRPr="00FB6420">
        <w:t xml:space="preserve"> = 0.003</w:t>
      </w:r>
      <w:r>
        <w:t>)</w:t>
      </w:r>
      <w:r w:rsidR="000E6878">
        <w:t>,</w:t>
      </w:r>
      <w:r>
        <w:t xml:space="preserve"> but </w:t>
      </w:r>
      <w:r w:rsidR="000E6878">
        <w:t>not with changes in</w:t>
      </w:r>
      <w:r>
        <w:t xml:space="preserve"> science communication</w:t>
      </w:r>
      <w:r w:rsidR="000E6878">
        <w:t xml:space="preserve"> interest</w:t>
      </w:r>
      <w:r>
        <w:t xml:space="preserve"> (Figure 2D,</w:t>
      </w:r>
      <w:r w:rsidRPr="004D16F8">
        <w:rPr>
          <w:i/>
          <w:iCs/>
        </w:rPr>
        <w:t xml:space="preserve"> t</w:t>
      </w:r>
      <w:r w:rsidRPr="00FB6420">
        <w:t xml:space="preserve"> = 0.647, </w:t>
      </w:r>
      <w:proofErr w:type="spellStart"/>
      <w:r w:rsidRPr="004D16F8">
        <w:rPr>
          <w:i/>
          <w:iCs/>
        </w:rPr>
        <w:t>df</w:t>
      </w:r>
      <w:proofErr w:type="spellEnd"/>
      <w:r w:rsidRPr="00FB6420">
        <w:t xml:space="preserve"> = 35.837</w:t>
      </w:r>
      <w:r>
        <w:t xml:space="preserve">, </w:t>
      </w:r>
      <w:r w:rsidRPr="004D16F8">
        <w:rPr>
          <w:i/>
          <w:iCs/>
        </w:rPr>
        <w:t>P</w:t>
      </w:r>
      <w:r w:rsidRPr="00FB6420">
        <w:t xml:space="preserve"> = 0.52</w:t>
      </w:r>
      <w:r>
        <w:t>2)</w:t>
      </w:r>
      <w:r w:rsidR="001A2EA6">
        <w:t xml:space="preserve"> than those who only participated in the modules</w:t>
      </w:r>
      <w:r>
        <w:t xml:space="preserve">. </w:t>
      </w:r>
      <w:r w:rsidR="000E6878">
        <w:t>These outcomes did not differ by</w:t>
      </w:r>
      <w:r>
        <w:t xml:space="preserve"> gender (spider attitude: </w:t>
      </w:r>
      <w:r w:rsidRPr="004D16F8">
        <w:rPr>
          <w:i/>
          <w:iCs/>
        </w:rPr>
        <w:t>t</w:t>
      </w:r>
      <w:r>
        <w:t xml:space="preserve"> = </w:t>
      </w:r>
      <w:r w:rsidRPr="00FB6420">
        <w:t xml:space="preserve">-1.647, </w:t>
      </w:r>
      <w:proofErr w:type="spellStart"/>
      <w:r w:rsidRPr="004D16F8">
        <w:rPr>
          <w:i/>
          <w:iCs/>
        </w:rPr>
        <w:t>df</w:t>
      </w:r>
      <w:proofErr w:type="spellEnd"/>
      <w:r w:rsidRPr="00FB6420">
        <w:t xml:space="preserve"> = 31.593, </w:t>
      </w:r>
      <w:r w:rsidRPr="004D16F8">
        <w:rPr>
          <w:i/>
          <w:iCs/>
        </w:rPr>
        <w:t xml:space="preserve">P </w:t>
      </w:r>
      <w:r w:rsidRPr="00FB6420">
        <w:t>= 0.109</w:t>
      </w:r>
      <w:r>
        <w:t>; sci-comm interest:</w:t>
      </w:r>
      <w:r w:rsidRPr="004D16F8">
        <w:rPr>
          <w:i/>
          <w:iCs/>
        </w:rPr>
        <w:t xml:space="preserve"> t</w:t>
      </w:r>
      <w:r w:rsidRPr="00FB6420">
        <w:t xml:space="preserve"> = -1.264, </w:t>
      </w:r>
      <w:proofErr w:type="spellStart"/>
      <w:r w:rsidRPr="004D16F8">
        <w:rPr>
          <w:i/>
          <w:iCs/>
        </w:rPr>
        <w:t>df</w:t>
      </w:r>
      <w:proofErr w:type="spellEnd"/>
      <w:r w:rsidRPr="00FB6420">
        <w:t xml:space="preserve"> = 33.428, </w:t>
      </w:r>
      <w:r w:rsidRPr="004D16F8">
        <w:rPr>
          <w:i/>
          <w:iCs/>
        </w:rPr>
        <w:t>P</w:t>
      </w:r>
      <w:r w:rsidRPr="00FB6420">
        <w:t xml:space="preserve"> = 0.21</w:t>
      </w:r>
      <w:r>
        <w:t xml:space="preserve">5) </w:t>
      </w:r>
      <w:r w:rsidR="000E6878">
        <w:t>or</w:t>
      </w:r>
      <w:r>
        <w:t xml:space="preserve"> previous science communication (sci-comm interest: </w:t>
      </w:r>
      <w:r w:rsidRPr="004D16F8">
        <w:rPr>
          <w:i/>
          <w:iCs/>
        </w:rPr>
        <w:t>t</w:t>
      </w:r>
      <w:r>
        <w:t xml:space="preserve"> = -0.047, </w:t>
      </w:r>
      <w:proofErr w:type="spellStart"/>
      <w:r w:rsidRPr="004D16F8">
        <w:rPr>
          <w:i/>
          <w:iCs/>
        </w:rPr>
        <w:t>df</w:t>
      </w:r>
      <w:proofErr w:type="spellEnd"/>
      <w:r>
        <w:t xml:space="preserve"> = 57.923, </w:t>
      </w:r>
      <w:r w:rsidRPr="004D16F8">
        <w:rPr>
          <w:i/>
          <w:iCs/>
        </w:rPr>
        <w:t>P</w:t>
      </w:r>
      <w:r>
        <w:t xml:space="preserve"> = 0.962).</w:t>
      </w:r>
    </w:p>
    <w:p w14:paraId="545AFCA6" w14:textId="19869708" w:rsidR="000E6878" w:rsidRDefault="000E6878" w:rsidP="0048222F">
      <w:r>
        <w:t xml:space="preserve">Hands-on experience with public outreach (ELE participation) was associated with improved confidence in science communication abilities (Figure 3, Table 1). Participants responded more </w:t>
      </w:r>
      <w:r w:rsidR="004D16F8">
        <w:t>positively</w:t>
      </w:r>
      <w:r>
        <w:t xml:space="preserve"> post-training</w:t>
      </w:r>
      <w:r w:rsidR="004D16F8">
        <w:t xml:space="preserve"> to three of the four statements </w:t>
      </w:r>
      <w:r>
        <w:t>within this theme (</w:t>
      </w:r>
      <w:r w:rsidR="004D16F8">
        <w:t>Figure 3)</w:t>
      </w:r>
      <w:r>
        <w:t>:</w:t>
      </w:r>
    </w:p>
    <w:p w14:paraId="0FC4571B" w14:textId="4021E223" w:rsidR="000E6878" w:rsidRDefault="000E6878" w:rsidP="000E6878">
      <w:pPr>
        <w:pStyle w:val="ListParagraph"/>
        <w:numPr>
          <w:ilvl w:val="0"/>
          <w:numId w:val="3"/>
        </w:numPr>
      </w:pPr>
      <w:r>
        <w:t>“</w:t>
      </w:r>
      <w:r w:rsidRPr="000E6878">
        <w:t>How good are you at science communication?</w:t>
      </w:r>
      <w:r>
        <w:t>” (</w:t>
      </w:r>
      <w:r w:rsidRPr="000E6878">
        <w:rPr>
          <w:i/>
          <w:iCs/>
        </w:rPr>
        <w:t>t</w:t>
      </w:r>
      <w:r w:rsidRPr="000E6878">
        <w:rPr>
          <w:i/>
          <w:iCs/>
          <w:vertAlign w:val="subscript"/>
        </w:rPr>
        <w:t>67</w:t>
      </w:r>
      <w:r>
        <w:t xml:space="preserve"> = -5.929, </w:t>
      </w:r>
      <w:r w:rsidRPr="000E6878">
        <w:rPr>
          <w:i/>
          <w:iCs/>
        </w:rPr>
        <w:t>P</w:t>
      </w:r>
      <w:r>
        <w:t xml:space="preserve"> &lt; 0.001)</w:t>
      </w:r>
    </w:p>
    <w:p w14:paraId="438D7E2F" w14:textId="442DD17B" w:rsidR="000E6878" w:rsidRDefault="000E6878" w:rsidP="000E6878">
      <w:pPr>
        <w:pStyle w:val="ListParagraph"/>
        <w:numPr>
          <w:ilvl w:val="0"/>
          <w:numId w:val="3"/>
        </w:numPr>
      </w:pPr>
      <w:r>
        <w:t>“</w:t>
      </w:r>
      <w:r w:rsidRPr="000E6878">
        <w:t>How well does the public understand your science when you communicate it to them?</w:t>
      </w:r>
      <w:r>
        <w:t>”</w:t>
      </w:r>
      <w:r w:rsidRPr="000E6878">
        <w:t xml:space="preserve"> </w:t>
      </w:r>
      <w:r>
        <w:t>(</w:t>
      </w:r>
      <w:r w:rsidRPr="000E6878">
        <w:rPr>
          <w:i/>
          <w:iCs/>
        </w:rPr>
        <w:t>t</w:t>
      </w:r>
      <w:r w:rsidRPr="000E6878">
        <w:rPr>
          <w:i/>
          <w:iCs/>
          <w:vertAlign w:val="subscript"/>
        </w:rPr>
        <w:t>67</w:t>
      </w:r>
      <w:r>
        <w:t xml:space="preserve"> = -7.818, </w:t>
      </w:r>
      <w:r w:rsidRPr="000E6878">
        <w:rPr>
          <w:i/>
          <w:iCs/>
        </w:rPr>
        <w:t>P</w:t>
      </w:r>
      <w:r>
        <w:t xml:space="preserve"> &lt; 0.001)</w:t>
      </w:r>
    </w:p>
    <w:p w14:paraId="2DE77C49" w14:textId="0C49772F" w:rsidR="000E6878" w:rsidRDefault="000E6878" w:rsidP="000E6878">
      <w:pPr>
        <w:pStyle w:val="ListParagraph"/>
        <w:numPr>
          <w:ilvl w:val="0"/>
          <w:numId w:val="3"/>
        </w:numPr>
      </w:pPr>
      <w:r>
        <w:lastRenderedPageBreak/>
        <w:t>“</w:t>
      </w:r>
      <w:r w:rsidRPr="000E6878">
        <w:t>Think about the classes and professional development training you have had in the past. How good of a job did they prepare you to engage in science communication?</w:t>
      </w:r>
      <w:r>
        <w:t>” (</w:t>
      </w:r>
      <w:r w:rsidRPr="000E6878">
        <w:rPr>
          <w:i/>
          <w:iCs/>
        </w:rPr>
        <w:t>t</w:t>
      </w:r>
      <w:r w:rsidRPr="000E6878">
        <w:rPr>
          <w:i/>
          <w:iCs/>
          <w:vertAlign w:val="subscript"/>
        </w:rPr>
        <w:t>67</w:t>
      </w:r>
      <w:r>
        <w:t xml:space="preserve"> = 3.027, </w:t>
      </w:r>
      <w:r w:rsidRPr="000E6878">
        <w:rPr>
          <w:i/>
          <w:iCs/>
        </w:rPr>
        <w:t>P</w:t>
      </w:r>
      <w:r>
        <w:t xml:space="preserve"> = 0.014)</w:t>
      </w:r>
    </w:p>
    <w:p w14:paraId="61DFB65A" w14:textId="525E318C" w:rsidR="000E6878" w:rsidRDefault="000E6878" w:rsidP="000E6878">
      <w:pPr>
        <w:pStyle w:val="ListParagraph"/>
        <w:numPr>
          <w:ilvl w:val="0"/>
          <w:numId w:val="3"/>
        </w:numPr>
      </w:pPr>
      <w:r>
        <w:t>“</w:t>
      </w:r>
      <w:r w:rsidRPr="000E6878">
        <w:t>If you were to list all the students/staff in your department from the worst to the best in science communication, where would you place yourself?</w:t>
      </w:r>
      <w:r>
        <w:t>” (</w:t>
      </w:r>
      <w:r w:rsidRPr="000E6878">
        <w:rPr>
          <w:i/>
          <w:iCs/>
        </w:rPr>
        <w:t>t</w:t>
      </w:r>
      <w:r w:rsidRPr="000E6878">
        <w:rPr>
          <w:i/>
          <w:iCs/>
          <w:vertAlign w:val="subscript"/>
        </w:rPr>
        <w:t>67</w:t>
      </w:r>
      <w:r>
        <w:t xml:space="preserve"> = 1.807, </w:t>
      </w:r>
      <w:r w:rsidRPr="000E6878">
        <w:rPr>
          <w:i/>
          <w:iCs/>
        </w:rPr>
        <w:t>P</w:t>
      </w:r>
      <w:r>
        <w:t xml:space="preserve"> = 0.301)</w:t>
      </w:r>
    </w:p>
    <w:p w14:paraId="44DF01B5" w14:textId="2E38B7DE" w:rsidR="004D16F8" w:rsidRDefault="000E6878" w:rsidP="0048222F">
      <w:r>
        <w:t xml:space="preserve">Only shifts in </w:t>
      </w:r>
      <w:r w:rsidRPr="000E6878">
        <w:rPr>
          <w:i/>
          <w:iCs/>
        </w:rPr>
        <w:t>Intent to Engage</w:t>
      </w:r>
      <w:r>
        <w:t xml:space="preserve"> were significantly affected by gender, with </w:t>
      </w:r>
      <w:r w:rsidR="004D16F8">
        <w:t xml:space="preserve">males exhibiting decreased intention </w:t>
      </w:r>
      <w:r>
        <w:t xml:space="preserve">to engage in science communication </w:t>
      </w:r>
      <w:r w:rsidR="004D16F8">
        <w:t xml:space="preserve">(Table 1; males: -1.000 </w:t>
      </w:r>
      <w:r w:rsidR="004D16F8">
        <w:sym w:font="Symbol" w:char="F0B1"/>
      </w:r>
      <w:r w:rsidR="004D16F8">
        <w:t xml:space="preserve"> 0.511, females: 0.196 </w:t>
      </w:r>
      <w:r w:rsidR="004D16F8">
        <w:sym w:font="Symbol" w:char="F0B1"/>
      </w:r>
      <w:r w:rsidR="004D16F8">
        <w:t xml:space="preserve"> 0.225). </w:t>
      </w:r>
      <w:r>
        <w:t xml:space="preserve">This decline in male intent was not explained by </w:t>
      </w:r>
      <w:r w:rsidR="00F17BA0">
        <w:t>ELE participation (</w:t>
      </w:r>
      <w:r w:rsidR="00F17BA0" w:rsidRPr="004D16F8">
        <w:rPr>
          <w:i/>
          <w:iCs/>
        </w:rPr>
        <w:t>t</w:t>
      </w:r>
      <w:r w:rsidR="00F17BA0">
        <w:t xml:space="preserve"> = 0.549, </w:t>
      </w:r>
      <w:proofErr w:type="spellStart"/>
      <w:r w:rsidR="00F17BA0" w:rsidRPr="00F17BA0">
        <w:rPr>
          <w:i/>
          <w:iCs/>
        </w:rPr>
        <w:t>df</w:t>
      </w:r>
      <w:proofErr w:type="spellEnd"/>
      <w:r w:rsidR="00F17BA0">
        <w:t xml:space="preserve"> = 4.934, </w:t>
      </w:r>
      <w:r w:rsidR="00F17BA0" w:rsidRPr="004D16F8">
        <w:rPr>
          <w:i/>
          <w:iCs/>
        </w:rPr>
        <w:t>P</w:t>
      </w:r>
      <w:r w:rsidR="00F17BA0">
        <w:t xml:space="preserve"> = 0.607) or previous science communication experience (</w:t>
      </w:r>
      <w:r w:rsidR="00F17BA0" w:rsidRPr="004D16F8">
        <w:rPr>
          <w:i/>
          <w:iCs/>
        </w:rPr>
        <w:t>t</w:t>
      </w:r>
      <w:r w:rsidR="00F17BA0">
        <w:t xml:space="preserve"> = -0.863, </w:t>
      </w:r>
      <w:proofErr w:type="spellStart"/>
      <w:r w:rsidR="00F17BA0" w:rsidRPr="00F17BA0">
        <w:rPr>
          <w:i/>
          <w:iCs/>
        </w:rPr>
        <w:t>df</w:t>
      </w:r>
      <w:proofErr w:type="spellEnd"/>
      <w:r w:rsidR="00F17BA0">
        <w:t xml:space="preserve"> = 14.107, </w:t>
      </w:r>
      <w:r w:rsidR="00F17BA0" w:rsidRPr="004D16F8">
        <w:rPr>
          <w:i/>
          <w:iCs/>
        </w:rPr>
        <w:t>P</w:t>
      </w:r>
      <w:r w:rsidR="00F17BA0">
        <w:t xml:space="preserve"> = 0.403).</w:t>
      </w:r>
    </w:p>
    <w:p w14:paraId="6C785371" w14:textId="799F808A" w:rsidR="00FB6420" w:rsidRPr="003B566D" w:rsidRDefault="004D16F8" w:rsidP="0048222F">
      <w:r>
        <w:t xml:space="preserve">No other individual statement </w:t>
      </w:r>
      <w:r w:rsidR="000E6878">
        <w:t>across themes showed significant</w:t>
      </w:r>
      <w:r>
        <w:t xml:space="preserve"> shift</w:t>
      </w:r>
      <w:r w:rsidR="000E6878">
        <w:t>s</w:t>
      </w:r>
      <w:r>
        <w:t xml:space="preserve"> from pre- to post-training (Figures S</w:t>
      </w:r>
      <w:r w:rsidR="00F17BA0">
        <w:t>4</w:t>
      </w:r>
      <w:r>
        <w:t>-</w:t>
      </w:r>
      <w:r w:rsidR="00F17BA0">
        <w:t>6</w:t>
      </w:r>
      <w:r>
        <w:t>).</w:t>
      </w:r>
      <w:r w:rsidR="00F17BA0">
        <w:t xml:space="preserve"> </w:t>
      </w:r>
      <w:r w:rsidR="000E6878">
        <w:t>However</w:t>
      </w:r>
      <w:r w:rsidR="00F17BA0">
        <w:t xml:space="preserve">, </w:t>
      </w:r>
      <w:r w:rsidR="000E6878">
        <w:t xml:space="preserve">in open-response </w:t>
      </w:r>
      <w:r w:rsidR="001A2EA6">
        <w:t>descriptions of science communication</w:t>
      </w:r>
      <w:r w:rsidR="000E6878">
        <w:t xml:space="preserve">, </w:t>
      </w:r>
      <w:r w:rsidR="00F17BA0">
        <w:t xml:space="preserve">participants </w:t>
      </w:r>
      <w:r w:rsidR="000E6878">
        <w:t>shifted from using terms like</w:t>
      </w:r>
      <w:r w:rsidR="00F17BA0">
        <w:t xml:space="preserve"> ‘science’, ‘public’, ‘research’, and ‘outreach’ </w:t>
      </w:r>
      <w:r w:rsidR="000E6878">
        <w:t>to words like</w:t>
      </w:r>
      <w:r w:rsidR="00F17BA0">
        <w:t xml:space="preserve"> ‘audience’, ‘fun’, ‘engagement’, and ‘social media’</w:t>
      </w:r>
      <w:r w:rsidR="001A2EA6">
        <w:t xml:space="preserve">, but consistently used words like ‘education’ and ‘science’ </w:t>
      </w:r>
      <w:r w:rsidR="00F17BA0">
        <w:t>(Figure S7).</w:t>
      </w:r>
    </w:p>
    <w:sectPr w:rsidR="00FB6420" w:rsidRPr="003B566D" w:rsidSect="00574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andi Pessman" w:date="2025-06-19T14:29:00Z" w:initials="BP">
    <w:p w14:paraId="300D69FD" w14:textId="77777777" w:rsidR="0048222F" w:rsidRDefault="0048222F" w:rsidP="0048222F">
      <w:r>
        <w:rPr>
          <w:rStyle w:val="CommentReference"/>
        </w:rPr>
        <w:annotationRef/>
      </w:r>
      <w:r>
        <w:rPr>
          <w:sz w:val="20"/>
          <w:szCs w:val="20"/>
        </w:rPr>
        <w:t>Ideas for any rewording?</w:t>
      </w:r>
    </w:p>
  </w:comment>
  <w:comment w:id="1" w:author="Brandi Pessman" w:date="2025-06-18T13:53:00Z" w:initials="BP">
    <w:p w14:paraId="299DC96F" w14:textId="0787B8B5" w:rsidR="00514DFD" w:rsidRDefault="00514DFD" w:rsidP="00514DFD">
      <w:r>
        <w:rPr>
          <w:rStyle w:val="CommentReference"/>
        </w:rPr>
        <w:annotationRef/>
      </w:r>
      <w:r>
        <w:rPr>
          <w:sz w:val="20"/>
          <w:szCs w:val="20"/>
        </w:rPr>
        <w:t xml:space="preserve">Is there a phrase for this that’s regularly used in the literature? </w:t>
      </w:r>
    </w:p>
    <w:p w14:paraId="254571BB" w14:textId="77777777" w:rsidR="00514DFD" w:rsidRDefault="00514DFD" w:rsidP="00514DFD"/>
    <w:p w14:paraId="7428D491" w14:textId="77777777" w:rsidR="00514DFD" w:rsidRDefault="00514DFD" w:rsidP="00514DFD">
      <w:r>
        <w:rPr>
          <w:sz w:val="20"/>
          <w:szCs w:val="20"/>
        </w:rPr>
        <w:t xml:space="preserve">For example, given these two statements in intent to engage: </w:t>
      </w:r>
    </w:p>
    <w:p w14:paraId="5D6FC35F" w14:textId="77777777" w:rsidR="00514DFD" w:rsidRDefault="00514DFD" w:rsidP="00514DFD">
      <w:r>
        <w:rPr>
          <w:sz w:val="20"/>
          <w:szCs w:val="20"/>
        </w:rPr>
        <w:t>1. I will be successful at engaging in science communication in the next year.</w:t>
      </w:r>
    </w:p>
    <w:p w14:paraId="23A707BA" w14:textId="77777777" w:rsidR="00514DFD" w:rsidRDefault="00514DFD" w:rsidP="00514DFD">
      <w:r>
        <w:rPr>
          <w:sz w:val="20"/>
          <w:szCs w:val="20"/>
        </w:rPr>
        <w:t>2. I will not be successful in learning new concepts related to science communication.</w:t>
      </w:r>
    </w:p>
    <w:p w14:paraId="59E039D8" w14:textId="77777777" w:rsidR="00514DFD" w:rsidRDefault="00514DFD" w:rsidP="00514DFD"/>
    <w:p w14:paraId="56605C4F" w14:textId="77777777" w:rsidR="00514DFD" w:rsidRDefault="00514DFD" w:rsidP="00514DFD">
      <w:r>
        <w:rPr>
          <w:sz w:val="20"/>
          <w:szCs w:val="20"/>
        </w:rPr>
        <w:t>I would flip the values of the second (so 1 is now 5 and 2 is now 4).</w:t>
      </w:r>
    </w:p>
  </w:comment>
  <w:comment w:id="2" w:author="Brandi Pessman" w:date="2025-05-29T09:10:00Z" w:initials="BP">
    <w:p w14:paraId="0EB518B5" w14:textId="53FA75BB" w:rsidR="00DA49F3" w:rsidRDefault="005F0FFE" w:rsidP="00DA49F3">
      <w:r>
        <w:rPr>
          <w:rStyle w:val="CommentReference"/>
        </w:rPr>
        <w:annotationRef/>
      </w:r>
      <w:r w:rsidR="00DA49F3">
        <w:rPr>
          <w:sz w:val="20"/>
          <w:szCs w:val="20"/>
        </w:rPr>
        <w:t>If I recall, only the first iteration included the fourth module, right? I am not sure how or when to bring that up.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00D69FD" w15:done="0"/>
  <w15:commentEx w15:paraId="56605C4F" w15:done="0"/>
  <w15:commentEx w15:paraId="0EB518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72E9E9" w16cex:dateUtc="2025-06-19T19:29:00Z"/>
  <w16cex:commentExtensible w16cex:durableId="3AE7F309" w16cex:dateUtc="2025-06-18T18:53:00Z"/>
  <w16cex:commentExtensible w16cex:durableId="1BAA3354" w16cex:dateUtc="2025-05-29T14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00D69FD" w16cid:durableId="2B72E9E9"/>
  <w16cid:commentId w16cid:paraId="56605C4F" w16cid:durableId="3AE7F309"/>
  <w16cid:commentId w16cid:paraId="0EB518B5" w16cid:durableId="1BAA33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30007"/>
    <w:multiLevelType w:val="hybridMultilevel"/>
    <w:tmpl w:val="33F233AE"/>
    <w:lvl w:ilvl="0" w:tplc="6E7AC54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E6E43"/>
    <w:multiLevelType w:val="hybridMultilevel"/>
    <w:tmpl w:val="BEDED994"/>
    <w:lvl w:ilvl="0" w:tplc="9FBEB1E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B1829"/>
    <w:multiLevelType w:val="hybridMultilevel"/>
    <w:tmpl w:val="01708C88"/>
    <w:lvl w:ilvl="0" w:tplc="7674D14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19596">
    <w:abstractNumId w:val="2"/>
  </w:num>
  <w:num w:numId="2" w16cid:durableId="907113080">
    <w:abstractNumId w:val="0"/>
  </w:num>
  <w:num w:numId="3" w16cid:durableId="73323644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andi Pessman">
    <w15:presenceInfo w15:providerId="AD" w15:userId="S::14636582@nebraska.edu::c1af37ce-2597-4cf4-a56c-c8ef8c7378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48"/>
    <w:rsid w:val="00001748"/>
    <w:rsid w:val="000042FB"/>
    <w:rsid w:val="00017603"/>
    <w:rsid w:val="000520BB"/>
    <w:rsid w:val="000603A6"/>
    <w:rsid w:val="000603A8"/>
    <w:rsid w:val="00065BC1"/>
    <w:rsid w:val="00072F93"/>
    <w:rsid w:val="00073247"/>
    <w:rsid w:val="0007334C"/>
    <w:rsid w:val="00094E82"/>
    <w:rsid w:val="000B4AA4"/>
    <w:rsid w:val="000D4C50"/>
    <w:rsid w:val="000D7DD5"/>
    <w:rsid w:val="000E6878"/>
    <w:rsid w:val="001102F7"/>
    <w:rsid w:val="0012617F"/>
    <w:rsid w:val="00126799"/>
    <w:rsid w:val="00134355"/>
    <w:rsid w:val="00137176"/>
    <w:rsid w:val="00147222"/>
    <w:rsid w:val="00147755"/>
    <w:rsid w:val="001578CC"/>
    <w:rsid w:val="0016301C"/>
    <w:rsid w:val="0016396C"/>
    <w:rsid w:val="00165E8E"/>
    <w:rsid w:val="0018405B"/>
    <w:rsid w:val="00195DFF"/>
    <w:rsid w:val="001A2EA6"/>
    <w:rsid w:val="001B29C3"/>
    <w:rsid w:val="001C1B0C"/>
    <w:rsid w:val="001C440A"/>
    <w:rsid w:val="001D2B48"/>
    <w:rsid w:val="001E0A18"/>
    <w:rsid w:val="001E0A83"/>
    <w:rsid w:val="001E3BB5"/>
    <w:rsid w:val="001F06CA"/>
    <w:rsid w:val="001F6022"/>
    <w:rsid w:val="0020368D"/>
    <w:rsid w:val="00204F56"/>
    <w:rsid w:val="00206CB2"/>
    <w:rsid w:val="00217548"/>
    <w:rsid w:val="00225A49"/>
    <w:rsid w:val="00233116"/>
    <w:rsid w:val="00241DDC"/>
    <w:rsid w:val="0025210F"/>
    <w:rsid w:val="002620FD"/>
    <w:rsid w:val="00264459"/>
    <w:rsid w:val="002655EB"/>
    <w:rsid w:val="0026778C"/>
    <w:rsid w:val="002764AD"/>
    <w:rsid w:val="00280BE7"/>
    <w:rsid w:val="002863E6"/>
    <w:rsid w:val="00287234"/>
    <w:rsid w:val="002938EC"/>
    <w:rsid w:val="002A1F4A"/>
    <w:rsid w:val="002C11DF"/>
    <w:rsid w:val="002C71E3"/>
    <w:rsid w:val="002D052F"/>
    <w:rsid w:val="002D126D"/>
    <w:rsid w:val="002D3233"/>
    <w:rsid w:val="002D5911"/>
    <w:rsid w:val="002E34D1"/>
    <w:rsid w:val="002F22C3"/>
    <w:rsid w:val="002F66B1"/>
    <w:rsid w:val="003124FD"/>
    <w:rsid w:val="00313DA2"/>
    <w:rsid w:val="00323183"/>
    <w:rsid w:val="003315A8"/>
    <w:rsid w:val="00343F60"/>
    <w:rsid w:val="00352000"/>
    <w:rsid w:val="00360BFD"/>
    <w:rsid w:val="00360EC2"/>
    <w:rsid w:val="00373901"/>
    <w:rsid w:val="003802CD"/>
    <w:rsid w:val="00380869"/>
    <w:rsid w:val="00381B18"/>
    <w:rsid w:val="00384A49"/>
    <w:rsid w:val="003A14EE"/>
    <w:rsid w:val="003A5D81"/>
    <w:rsid w:val="003B30AF"/>
    <w:rsid w:val="003B3862"/>
    <w:rsid w:val="003B566D"/>
    <w:rsid w:val="003C5A86"/>
    <w:rsid w:val="003D3B74"/>
    <w:rsid w:val="00407AD5"/>
    <w:rsid w:val="004112D0"/>
    <w:rsid w:val="00411AD9"/>
    <w:rsid w:val="00414E16"/>
    <w:rsid w:val="00420A50"/>
    <w:rsid w:val="00421B14"/>
    <w:rsid w:val="004226FF"/>
    <w:rsid w:val="00435C61"/>
    <w:rsid w:val="00444234"/>
    <w:rsid w:val="00477EBC"/>
    <w:rsid w:val="0048222F"/>
    <w:rsid w:val="00483111"/>
    <w:rsid w:val="004A6B9D"/>
    <w:rsid w:val="004D16F8"/>
    <w:rsid w:val="004D7C32"/>
    <w:rsid w:val="004E09DF"/>
    <w:rsid w:val="004E32E9"/>
    <w:rsid w:val="004E4549"/>
    <w:rsid w:val="004F3574"/>
    <w:rsid w:val="0050071C"/>
    <w:rsid w:val="00503269"/>
    <w:rsid w:val="0051136B"/>
    <w:rsid w:val="00511C55"/>
    <w:rsid w:val="00514DFD"/>
    <w:rsid w:val="00517C23"/>
    <w:rsid w:val="005372D7"/>
    <w:rsid w:val="00537E3B"/>
    <w:rsid w:val="00543858"/>
    <w:rsid w:val="00555455"/>
    <w:rsid w:val="005731E6"/>
    <w:rsid w:val="0057400B"/>
    <w:rsid w:val="00574DCF"/>
    <w:rsid w:val="005779AC"/>
    <w:rsid w:val="00580B19"/>
    <w:rsid w:val="00594B9E"/>
    <w:rsid w:val="005A1102"/>
    <w:rsid w:val="005A6CF2"/>
    <w:rsid w:val="005C0A85"/>
    <w:rsid w:val="005C7453"/>
    <w:rsid w:val="005E39D4"/>
    <w:rsid w:val="005F0FFE"/>
    <w:rsid w:val="005F19A0"/>
    <w:rsid w:val="005F23AA"/>
    <w:rsid w:val="005F3BBD"/>
    <w:rsid w:val="0060157F"/>
    <w:rsid w:val="006039B0"/>
    <w:rsid w:val="0061298C"/>
    <w:rsid w:val="0061365D"/>
    <w:rsid w:val="00614929"/>
    <w:rsid w:val="006316B7"/>
    <w:rsid w:val="00641BED"/>
    <w:rsid w:val="00642492"/>
    <w:rsid w:val="0065109E"/>
    <w:rsid w:val="0065278A"/>
    <w:rsid w:val="00672F22"/>
    <w:rsid w:val="00680375"/>
    <w:rsid w:val="006A4A2C"/>
    <w:rsid w:val="006B2BEE"/>
    <w:rsid w:val="006C1790"/>
    <w:rsid w:val="006D5FBF"/>
    <w:rsid w:val="006D6589"/>
    <w:rsid w:val="00720A0A"/>
    <w:rsid w:val="00721C1B"/>
    <w:rsid w:val="00725CE5"/>
    <w:rsid w:val="007518AA"/>
    <w:rsid w:val="00751AB7"/>
    <w:rsid w:val="00753909"/>
    <w:rsid w:val="00755C14"/>
    <w:rsid w:val="007757CF"/>
    <w:rsid w:val="00781355"/>
    <w:rsid w:val="00784291"/>
    <w:rsid w:val="00791D13"/>
    <w:rsid w:val="007B54E9"/>
    <w:rsid w:val="007B7948"/>
    <w:rsid w:val="007C42E7"/>
    <w:rsid w:val="007C4A3B"/>
    <w:rsid w:val="007E0F0A"/>
    <w:rsid w:val="00800D29"/>
    <w:rsid w:val="008055B3"/>
    <w:rsid w:val="0080584D"/>
    <w:rsid w:val="00850F9C"/>
    <w:rsid w:val="0087457F"/>
    <w:rsid w:val="00881E79"/>
    <w:rsid w:val="008822E6"/>
    <w:rsid w:val="00887274"/>
    <w:rsid w:val="00895287"/>
    <w:rsid w:val="0089767E"/>
    <w:rsid w:val="008B3063"/>
    <w:rsid w:val="008C287A"/>
    <w:rsid w:val="008C3263"/>
    <w:rsid w:val="008C4659"/>
    <w:rsid w:val="008E3578"/>
    <w:rsid w:val="008E564E"/>
    <w:rsid w:val="008E5959"/>
    <w:rsid w:val="008F72A2"/>
    <w:rsid w:val="00902451"/>
    <w:rsid w:val="00906905"/>
    <w:rsid w:val="0090690B"/>
    <w:rsid w:val="00912AF8"/>
    <w:rsid w:val="00925FA9"/>
    <w:rsid w:val="00925FCF"/>
    <w:rsid w:val="00927BDF"/>
    <w:rsid w:val="009309B0"/>
    <w:rsid w:val="00952944"/>
    <w:rsid w:val="009555E3"/>
    <w:rsid w:val="009778FC"/>
    <w:rsid w:val="00982175"/>
    <w:rsid w:val="009877EA"/>
    <w:rsid w:val="009909FB"/>
    <w:rsid w:val="00993C73"/>
    <w:rsid w:val="009A3CC7"/>
    <w:rsid w:val="009B1213"/>
    <w:rsid w:val="009B50FB"/>
    <w:rsid w:val="009C0C31"/>
    <w:rsid w:val="009C460A"/>
    <w:rsid w:val="009D0E80"/>
    <w:rsid w:val="009D1022"/>
    <w:rsid w:val="009D4D56"/>
    <w:rsid w:val="009E13C5"/>
    <w:rsid w:val="009E5A28"/>
    <w:rsid w:val="009E6A94"/>
    <w:rsid w:val="009E7346"/>
    <w:rsid w:val="00A12403"/>
    <w:rsid w:val="00A25313"/>
    <w:rsid w:val="00A26EFE"/>
    <w:rsid w:val="00A30301"/>
    <w:rsid w:val="00A31763"/>
    <w:rsid w:val="00A435B0"/>
    <w:rsid w:val="00A45BEC"/>
    <w:rsid w:val="00A4701F"/>
    <w:rsid w:val="00A4784B"/>
    <w:rsid w:val="00A56FE9"/>
    <w:rsid w:val="00A61441"/>
    <w:rsid w:val="00A70434"/>
    <w:rsid w:val="00A7789C"/>
    <w:rsid w:val="00A806AE"/>
    <w:rsid w:val="00A809DF"/>
    <w:rsid w:val="00A97CDE"/>
    <w:rsid w:val="00AC1B69"/>
    <w:rsid w:val="00AD55AC"/>
    <w:rsid w:val="00AE022E"/>
    <w:rsid w:val="00AE4827"/>
    <w:rsid w:val="00B03431"/>
    <w:rsid w:val="00B1017A"/>
    <w:rsid w:val="00B1512F"/>
    <w:rsid w:val="00B17D97"/>
    <w:rsid w:val="00B20131"/>
    <w:rsid w:val="00B202D7"/>
    <w:rsid w:val="00B3065C"/>
    <w:rsid w:val="00B61B70"/>
    <w:rsid w:val="00B87270"/>
    <w:rsid w:val="00B90DCF"/>
    <w:rsid w:val="00B92021"/>
    <w:rsid w:val="00BB47CE"/>
    <w:rsid w:val="00BD0BD0"/>
    <w:rsid w:val="00BD3433"/>
    <w:rsid w:val="00BE6649"/>
    <w:rsid w:val="00C01EFA"/>
    <w:rsid w:val="00C03272"/>
    <w:rsid w:val="00C039B3"/>
    <w:rsid w:val="00C152A9"/>
    <w:rsid w:val="00C21BC6"/>
    <w:rsid w:val="00C25D6C"/>
    <w:rsid w:val="00C26E16"/>
    <w:rsid w:val="00C2706A"/>
    <w:rsid w:val="00C30A9D"/>
    <w:rsid w:val="00C43313"/>
    <w:rsid w:val="00C43785"/>
    <w:rsid w:val="00C503FD"/>
    <w:rsid w:val="00C532C9"/>
    <w:rsid w:val="00C552A4"/>
    <w:rsid w:val="00C62EB0"/>
    <w:rsid w:val="00C72048"/>
    <w:rsid w:val="00C81730"/>
    <w:rsid w:val="00C857F8"/>
    <w:rsid w:val="00C921D0"/>
    <w:rsid w:val="00C96BFA"/>
    <w:rsid w:val="00CA39B7"/>
    <w:rsid w:val="00CC078A"/>
    <w:rsid w:val="00CC3DEB"/>
    <w:rsid w:val="00CC6105"/>
    <w:rsid w:val="00CC71C9"/>
    <w:rsid w:val="00CE01E7"/>
    <w:rsid w:val="00CE4DBC"/>
    <w:rsid w:val="00CE71C3"/>
    <w:rsid w:val="00D03B49"/>
    <w:rsid w:val="00D05D66"/>
    <w:rsid w:val="00D05F75"/>
    <w:rsid w:val="00D141B2"/>
    <w:rsid w:val="00D246A0"/>
    <w:rsid w:val="00D270F6"/>
    <w:rsid w:val="00D317D9"/>
    <w:rsid w:val="00D56719"/>
    <w:rsid w:val="00D849ED"/>
    <w:rsid w:val="00DA3897"/>
    <w:rsid w:val="00DA49F3"/>
    <w:rsid w:val="00DE78E8"/>
    <w:rsid w:val="00DF00BD"/>
    <w:rsid w:val="00DF0653"/>
    <w:rsid w:val="00DF26D0"/>
    <w:rsid w:val="00DF548D"/>
    <w:rsid w:val="00E314CC"/>
    <w:rsid w:val="00E50990"/>
    <w:rsid w:val="00E610AA"/>
    <w:rsid w:val="00E77F92"/>
    <w:rsid w:val="00E9387A"/>
    <w:rsid w:val="00EB546B"/>
    <w:rsid w:val="00EB7512"/>
    <w:rsid w:val="00EC415D"/>
    <w:rsid w:val="00EE1F56"/>
    <w:rsid w:val="00EE3E5C"/>
    <w:rsid w:val="00EF4248"/>
    <w:rsid w:val="00EF6675"/>
    <w:rsid w:val="00F13405"/>
    <w:rsid w:val="00F17BA0"/>
    <w:rsid w:val="00F22F51"/>
    <w:rsid w:val="00F27A8C"/>
    <w:rsid w:val="00F344B1"/>
    <w:rsid w:val="00F50974"/>
    <w:rsid w:val="00F50C2B"/>
    <w:rsid w:val="00F5155F"/>
    <w:rsid w:val="00F54D3D"/>
    <w:rsid w:val="00F67D2E"/>
    <w:rsid w:val="00F74A8A"/>
    <w:rsid w:val="00F756F5"/>
    <w:rsid w:val="00F776BF"/>
    <w:rsid w:val="00F92AA7"/>
    <w:rsid w:val="00FB138B"/>
    <w:rsid w:val="00FB4444"/>
    <w:rsid w:val="00FB6420"/>
    <w:rsid w:val="00FB69E0"/>
    <w:rsid w:val="00FD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E2085"/>
  <w15:chartTrackingRefBased/>
  <w15:docId w15:val="{D96A3396-74F7-B044-8D16-9A745103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B4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5F0F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F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F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F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F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 Pessman</dc:creator>
  <cp:keywords/>
  <dc:description/>
  <cp:lastModifiedBy>Brandi Pessman</cp:lastModifiedBy>
  <cp:revision>12</cp:revision>
  <dcterms:created xsi:type="dcterms:W3CDTF">2025-05-23T21:09:00Z</dcterms:created>
  <dcterms:modified xsi:type="dcterms:W3CDTF">2025-06-19T20:22:00Z</dcterms:modified>
</cp:coreProperties>
</file>