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 Final Requirements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6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Tadhg O’Brien, Brandon Longworth, Austin Moody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UML Diagrams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Table: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The primary actor for all the use cases is the employees of Hip Hop Array.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Diagram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81600" cy="495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Data Flow Diagram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594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Activity Diagram </w:t>
      </w:r>
      <w:r w:rsidDel="00000000" w:rsidR="00000000" w:rsidRPr="00000000">
        <w:rPr>
          <w:rtl w:val="0"/>
        </w:rPr>
        <w:t xml:space="preserve">(Zoom for clearer view)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585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5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Implementation Activity Diagram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893667" cy="4148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3667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