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Scraper Report</w:t>
      </w:r>
    </w:p>
    <w:p>
      <w:pPr>
        <w:pStyle w:val="Heading1"/>
      </w:pPr>
      <w:r>
        <w:t>Figure 1</w:t>
      </w:r>
    </w:p>
    <w:p>
      <w:r>
        <w:drawing>
          <wp:inline xmlns:a="http://schemas.openxmlformats.org/drawingml/2006/main" xmlns:pic="http://schemas.openxmlformats.org/drawingml/2006/picture">
            <wp:extent cx="5221224" cy="4315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reCou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4315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Figure 2</w:t>
      </w:r>
    </w:p>
    <w:p>
      <w:r>
        <w:drawing>
          <wp:inline xmlns:a="http://schemas.openxmlformats.org/drawingml/2006/main" xmlns:pic="http://schemas.openxmlformats.org/drawingml/2006/picture">
            <wp:extent cx="5468112" cy="4160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iewLength_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