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SPI（串行外设接口）spi通讯方式（stm32f407为大容量stm32103为中容量）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spi.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提供两个主要功能。支持spi协议和i^2s协议。默认选择的spi方式。</w:t>
      </w:r>
    </w:p>
    <w:p>
      <w:pPr>
        <w:widowControl w:val="0"/>
        <w:numPr>
          <w:numId w:val="0"/>
        </w:numPr>
        <w:ind w:firstLine="44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eastAsia="zh-CN"/>
        </w:rPr>
        <w:t>（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在小容量和中容量产品上，不支持</w:t>
      </w:r>
      <w:r>
        <w:rPr>
          <w:rFonts w:ascii="ArialMT" w:hAnsi="ArialMT" w:eastAsia="ArialMT" w:cs="ArialMT"/>
          <w:b w:val="0"/>
          <w:i w:val="0"/>
          <w:color w:val="000000"/>
          <w:sz w:val="22"/>
          <w:szCs w:val="22"/>
        </w:rPr>
        <w:t>I</w:t>
      </w:r>
      <w:r>
        <w:rPr>
          <w:rFonts w:ascii="ArialMT" w:hAnsi="ArialMT" w:eastAsia="ArialMT" w:cs="ArialMT"/>
          <w:b w:val="0"/>
          <w:i w:val="0"/>
          <w:color w:val="000000"/>
          <w:sz w:val="14"/>
          <w:szCs w:val="14"/>
        </w:rPr>
        <w:t>2</w:t>
      </w:r>
      <w:r>
        <w:rPr>
          <w:rFonts w:ascii="ArialMT" w:hAnsi="ArialMT" w:eastAsia="ArialMT" w:cs="ArialMT"/>
          <w:b w:val="0"/>
          <w:i w:val="0"/>
          <w:color w:val="000000"/>
          <w:sz w:val="22"/>
          <w:szCs w:val="22"/>
        </w:rPr>
        <w:t>S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音频协议。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ind w:firstLine="40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6"/>
        </w:rPr>
        <w:t xml:space="preserve">串行外设接口 </w:t>
      </w:r>
      <w:r>
        <w:rPr>
          <w:rStyle w:val="7"/>
        </w:rPr>
        <w:t xml:space="preserve">(SPI) </w:t>
      </w:r>
      <w:r>
        <w:rPr>
          <w:rStyle w:val="6"/>
        </w:rPr>
        <w:t>可与外部器件进行半双工</w:t>
      </w:r>
      <w:r>
        <w:rPr>
          <w:rStyle w:val="7"/>
        </w:rPr>
        <w:t>/</w:t>
      </w:r>
      <w:r>
        <w:rPr>
          <w:rStyle w:val="6"/>
        </w:rPr>
        <w:t>全双工的同步串行通信。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ind w:left="399" w:leftChars="19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它可用于多种用途，包括基于双线的单工同步传输，其中一条可作为双向数据线，或使用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Style w:val="8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校验实现可靠通信。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Style w:val="8"/>
        </w:rPr>
        <w:t>I</w:t>
      </w:r>
      <w:r>
        <w:rPr>
          <w:rStyle w:val="8"/>
          <w:sz w:val="16"/>
          <w:szCs w:val="16"/>
        </w:rPr>
        <w:t>2</w:t>
      </w:r>
      <w:r>
        <w:rPr>
          <w:rStyle w:val="8"/>
        </w:rPr>
        <w:t xml:space="preserve">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也是同步串行通信接口。它可满足四种不同音频标准的要求，包括 </w:t>
      </w:r>
      <w:r>
        <w:rPr>
          <w:rStyle w:val="8"/>
        </w:rPr>
        <w:t>I</w:t>
      </w:r>
      <w:r>
        <w:rPr>
          <w:rStyle w:val="8"/>
          <w:sz w:val="16"/>
          <w:szCs w:val="16"/>
        </w:rPr>
        <w:t>2</w:t>
      </w:r>
      <w:r>
        <w:rPr>
          <w:rStyle w:val="8"/>
        </w:rPr>
        <w:t xml:space="preserve">S Philips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标准、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Style w:val="8"/>
        </w:rPr>
        <w:t xml:space="preserve">MSB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和 </w:t>
      </w:r>
      <w:r>
        <w:rPr>
          <w:rStyle w:val="8"/>
        </w:rPr>
        <w:t xml:space="preserve">LSB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对齐标准，以及 </w:t>
      </w:r>
      <w:r>
        <w:rPr>
          <w:rStyle w:val="8"/>
        </w:rPr>
        <w:t xml:space="preserve">PCM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标准。它可在全双工模式（使用 </w:t>
      </w:r>
      <w:r>
        <w:rPr>
          <w:rStyle w:val="8"/>
        </w:rPr>
        <w:t xml:space="preserve">4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引脚）或半双工模式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（使用 </w:t>
      </w:r>
      <w:r>
        <w:rPr>
          <w:rStyle w:val="8"/>
        </w:rPr>
        <w:t xml:space="preserve">3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个引脚）下作为从器件或主器件工作。当 </w:t>
      </w:r>
      <w:r>
        <w:rPr>
          <w:rStyle w:val="8"/>
        </w:rPr>
        <w:t>I</w:t>
      </w:r>
      <w:r>
        <w:rPr>
          <w:rStyle w:val="8"/>
          <w:sz w:val="16"/>
          <w:szCs w:val="16"/>
        </w:rPr>
        <w:t>2</w:t>
      </w:r>
      <w:r>
        <w:rPr>
          <w:rStyle w:val="8"/>
        </w:rPr>
        <w:t xml:space="preserve">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配置为通信主模式时，该接口可以向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外部从器件提供主时钟。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ind w:left="399" w:leftChars="190" w:firstLine="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2特性.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.基于三线的全双工同步通信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val="en-US" w:eastAsia="zh-CN"/>
        </w:rPr>
        <w:t>.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基于双线的单工同步传输，其中一条可作为双向数据线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val="en-US" w:eastAsia="zh-CN"/>
        </w:rPr>
        <w:t>一根时钟线，一根数据线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ZapfDingbats" w:hAnsi="ZapfDingbats" w:eastAsia="宋体" w:cs="ZapfDingbats"/>
          <w:b w:val="0"/>
          <w:i w:val="0"/>
          <w:color w:val="000000"/>
          <w:sz w:val="16"/>
          <w:szCs w:val="16"/>
          <w:lang w:val="en-US" w:eastAsia="zh-CN"/>
        </w:rPr>
        <w:t>.</w:t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 </w:t>
      </w:r>
      <w:r>
        <w:rPr>
          <w:rStyle w:val="9"/>
        </w:rPr>
        <w:t xml:space="preserve">8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位或 </w:t>
      </w:r>
      <w:r>
        <w:rPr>
          <w:rStyle w:val="9"/>
        </w:rPr>
        <w:t xml:space="preserve">16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位传输帧格式选择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val="en-US" w:eastAsia="zh-CN"/>
        </w:rPr>
        <w:t>一般不可编程的外设为8位，可编程的外设可能使用到16位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）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多主模式功能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8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个主模式波特率预分频器（最大值为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f</w:t>
      </w:r>
      <w:r>
        <w:rPr>
          <w:rFonts w:ascii="Helvetica" w:hAnsi="Helvetica" w:eastAsia="Helvetica" w:cs="Helvetica"/>
          <w:b w:val="0"/>
          <w:i w:val="0"/>
          <w:color w:val="000000"/>
          <w:sz w:val="16"/>
          <w:szCs w:val="16"/>
        </w:rPr>
        <w:t>PCLK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/2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val="en-US" w:eastAsia="zh-CN"/>
        </w:rPr>
        <w:t>根据外设的工作频率进行分频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eastAsia="zh-CN"/>
        </w:rPr>
        <w:t>）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从模式频率（最大值为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f</w:t>
      </w:r>
      <w:r>
        <w:rPr>
          <w:rFonts w:ascii="Helvetica" w:hAnsi="Helvetica" w:eastAsia="Helvetica" w:cs="Helvetica"/>
          <w:b w:val="0"/>
          <w:i w:val="0"/>
          <w:color w:val="000000"/>
          <w:sz w:val="16"/>
          <w:szCs w:val="16"/>
        </w:rPr>
        <w:t>PCLK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/2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）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对于主模式和从模式都可实现更快的通信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对于主模式和从模式都可通过硬件或软件进行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管理：动态切换主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从操作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可编程的时钟极性和相位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可编程的数据顺序，最先移位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MSB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或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LSB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可触发中断的专用发送和接收标志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总线忙状态标志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TI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模式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用于确保可靠通信的硬件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功能：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—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在发送模式下可将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值作为最后一个字节发送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—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根据收到的最后一个字节自动进行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错误校验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可触发中断的主模式故障、上溢和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错误标志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具有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DMA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功能的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1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字节发送和接收缓冲器：发送和接收请求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I^2s特性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主模式或从模式操作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多主模式功能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8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个主模式波特率预分频器（最大值为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f</w:t>
      </w:r>
      <w:r>
        <w:rPr>
          <w:rFonts w:ascii="Helvetica" w:hAnsi="Helvetica" w:eastAsia="Helvetica" w:cs="Helvetica"/>
          <w:b w:val="0"/>
          <w:i w:val="0"/>
          <w:color w:val="000000"/>
          <w:sz w:val="16"/>
          <w:szCs w:val="16"/>
        </w:rPr>
        <w:t>PCLK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/2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）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从模式频率（最大值为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f</w:t>
      </w:r>
      <w:r>
        <w:rPr>
          <w:rFonts w:ascii="Helvetica" w:hAnsi="Helvetica" w:eastAsia="Helvetica" w:cs="Helvetica"/>
          <w:b w:val="0"/>
          <w:i w:val="0"/>
          <w:color w:val="000000"/>
          <w:sz w:val="16"/>
          <w:szCs w:val="16"/>
        </w:rPr>
        <w:t>PCLK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/2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）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对于主模式和从模式都可实现更快的通信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对于主模式和从模式都可通过硬件或软件进行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管理：动态切换主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从操作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可编程的时钟极性和相位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可编程的数据顺序，最先移位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MSB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或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LSB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可触发中断的专用发送和接收标志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总线忙状态标志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TI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模式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用于确保可靠通信的硬件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功能：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—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在发送模式下可将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值作为最后一个字节发送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—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根据收到的最后一个字节自动进行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错误校验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可触发中断的主模式故障、上溢和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CRC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错误标志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具有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DMA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功能的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1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字节发送和接收缓冲器：发送和接收请求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ind w:firstLine="400" w:firstLineChars="200"/>
        <w:jc w:val="both"/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SPI一般说明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通常，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通过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4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个引脚与外部器件连接：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MISO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：主输入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从输出数据。此引脚可用于在从模式下发送数据和在主模式下接收数据。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MOSI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：主输出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/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从输入数据。此引脚可用于在主模式下发送数据和在从模式下接收数据。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SCK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：用于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主器件的串行时钟输出以及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从器件的串行时钟输入。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ZapfDingbats" w:hAnsi="ZapfDingbats" w:eastAsia="ZapfDingbats" w:cs="ZapfDingbats"/>
          <w:b w:val="0"/>
          <w:i w:val="0"/>
          <w:color w:val="000000"/>
          <w:sz w:val="16"/>
          <w:szCs w:val="16"/>
        </w:rPr>
        <w:t xml:space="preserve">●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NSS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：从器件选择。这是用于选择从器件的可选引脚。此引脚用作“片选”，可让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SPI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主器件与从器件进行单独通信，从而并避免数据线上的竞争。从器件的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输入可由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主器件上的标准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IO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端口驱动。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引脚在使能（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SSOE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位）时还可用作输出，并可在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处于主模式配置时驱动为低电平。通过这种方式，只要器件配置成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硬件管理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模式，所有连接到该主器件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引脚的其它器件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引脚都将呈现低电平，并因此而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作为从器件。当配置为主模式，且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配置为输入（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MSTR=1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且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SSOE=0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）时，如果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NSS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拉至低电平，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SPI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 xml:space="preserve">将进入主模式故障状态： 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 xml:space="preserve">MSTR 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位自动清零，并且器件配置为从</w:t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0"/>
          <w:szCs w:val="20"/>
        </w:rPr>
        <w:t>模式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IIC通讯方式</w:t>
      </w:r>
    </w:p>
    <w:p>
      <w:pPr>
        <w:widowControl w:val="0"/>
        <w:numPr>
          <w:ilvl w:val="0"/>
          <w:numId w:val="3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ZapfDingbat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67BC3"/>
    <w:multiLevelType w:val="singleLevel"/>
    <w:tmpl w:val="B4D67BC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D3DDBCF"/>
    <w:multiLevelType w:val="singleLevel"/>
    <w:tmpl w:val="BD3DDBC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C002CA68"/>
    <w:multiLevelType w:val="singleLevel"/>
    <w:tmpl w:val="C002C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54951"/>
    <w:rsid w:val="0EDA572C"/>
    <w:rsid w:val="1CEE5AB9"/>
    <w:rsid w:val="2A643E11"/>
    <w:rsid w:val="2B0E6A01"/>
    <w:rsid w:val="2BD613E4"/>
    <w:rsid w:val="2DF42FC6"/>
    <w:rsid w:val="44844925"/>
    <w:rsid w:val="4DD043AB"/>
    <w:rsid w:val="52B479AE"/>
    <w:rsid w:val="614108F9"/>
    <w:rsid w:val="7B172386"/>
    <w:rsid w:val="7E2F1485"/>
    <w:rsid w:val="7E8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style01"/>
    <w:basedOn w:val="4"/>
    <w:uiPriority w:val="0"/>
    <w:rPr>
      <w:rFonts w:ascii="宋体" w:hAnsi="宋体" w:eastAsia="宋体" w:cs="宋体"/>
      <w:color w:val="000000"/>
      <w:sz w:val="20"/>
      <w:szCs w:val="20"/>
    </w:rPr>
  </w:style>
  <w:style w:type="character" w:customStyle="1" w:styleId="7">
    <w:name w:val="fontstyle21"/>
    <w:basedOn w:val="4"/>
    <w:uiPriority w:val="0"/>
    <w:rPr>
      <w:rFonts w:ascii="Helvetica" w:hAnsi="Helvetica" w:eastAsia="Helvetica" w:cs="Helvetica"/>
      <w:color w:val="000000"/>
      <w:sz w:val="20"/>
      <w:szCs w:val="20"/>
    </w:rPr>
  </w:style>
  <w:style w:type="character" w:customStyle="1" w:styleId="8">
    <w:name w:val="fontstyle11"/>
    <w:basedOn w:val="4"/>
    <w:uiPriority w:val="0"/>
    <w:rPr>
      <w:rFonts w:ascii="Helvetica" w:hAnsi="Helvetica" w:eastAsia="Helvetica" w:cs="Helvetica"/>
      <w:color w:val="000000"/>
      <w:sz w:val="20"/>
      <w:szCs w:val="20"/>
    </w:rPr>
  </w:style>
  <w:style w:type="character" w:customStyle="1" w:styleId="9">
    <w:name w:val="fontstyle31"/>
    <w:basedOn w:val="4"/>
    <w:uiPriority w:val="0"/>
    <w:rPr>
      <w:rFonts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2019-02-10T08:58:17Z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