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Product Information File (PIF) Template</w:t>
      </w:r>
    </w:p>
    <w:p>
      <w:pPr>
        <w:spacing w:after="60" w:before="60"/>
        <w:ind w:left="720"/>
      </w:pPr>
      <w:r>
        <w:rPr>
          <w:i/>
          <w:iCs/>
          <w:color w:val="666666"/>
          <w:sz w:val="20"/>
          <w:szCs w:val="20"/>
        </w:rPr>
        <w:t xml:space="preserve">Per EU Regulation EC 1223/2009, Article 11</w:t>
      </w:r>
    </w:p>
    <w:p>
      <w:pPr>
        <w:spacing w:after="60" w:before="60"/>
        <w:ind w:left="720"/>
      </w:pPr>
      <w:r>
        <w:rPr>
          <w:i/>
          <w:iCs/>
          <w:color w:val="666666"/>
          <w:sz w:val="20"/>
          <w:szCs w:val="20"/>
        </w:rPr>
        <w:t xml:space="preserve">One PIF per product — kept by the Responsible Person and available to competent authorities on request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PIF Checklist — Per Product</w:t>
      </w:r>
    </w:p>
    <w:p>
      <w:pPr>
        <w:spacing w:after="60" w:before="60"/>
      </w:pPr>
      <w:r>
        <w:rPr>
          <w:sz w:val="20"/>
          <w:szCs w:val="20"/>
        </w:rPr>
        <w:t xml:space="preserve">Create a physical folder + digital copy for each product containing:</w:t>
      </w:r>
    </w:p>
    <w:p>
      <w:pPr>
        <w:pStyle w:val="Heading3"/>
        <w:spacing w:after="120" w:before="240"/>
      </w:pPr>
      <w:r>
        <w:rPr>
          <w:b w:val="false"/>
          <w:bCs w:val="false"/>
          <w:sz w:val="24"/>
          <w:szCs w:val="24"/>
        </w:rPr>
        <w:t xml:space="preserve">Section A — Product Description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sz w:val="20"/>
          <w:szCs w:val="20"/>
        </w:rPr>
        <w:t xml:space="preserve">Product trade name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sz w:val="20"/>
          <w:szCs w:val="20"/>
        </w:rPr>
        <w:t xml:space="preserve">Product category (leave-on / rinse-off)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sz w:val="20"/>
          <w:szCs w:val="20"/>
        </w:rPr>
        <w:t xml:space="preserve">Intended use and target area (face, body, lips, hands)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sz w:val="20"/>
          <w:szCs w:val="20"/>
        </w:rPr>
        <w:t xml:space="preserve">Target consumer (age group, skin type if applicable)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sz w:val="20"/>
          <w:szCs w:val="20"/>
        </w:rPr>
        <w:t xml:space="preserve">Form factor (jar, tin, bottle, bar)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sz w:val="20"/>
          <w:szCs w:val="20"/>
        </w:rPr>
        <w:t xml:space="preserve">Net weight / volume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sz w:val="20"/>
          <w:szCs w:val="20"/>
        </w:rPr>
        <w:t xml:space="preserve">Shelf life / PAO (Period After Opening)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sz w:val="20"/>
          <w:szCs w:val="20"/>
        </w:rPr>
        <w:t xml:space="preserve">Photo of finished product with label</w:t>
      </w:r>
    </w:p>
    <w:p>
      <w:pPr>
        <w:pStyle w:val="Heading3"/>
        <w:spacing w:after="120" w:before="240"/>
      </w:pPr>
      <w:r>
        <w:rPr>
          <w:b w:val="false"/>
          <w:bCs w:val="false"/>
          <w:sz w:val="24"/>
          <w:szCs w:val="24"/>
        </w:rPr>
        <w:t xml:space="preserve">Section B — Qualitative &amp; Quantitative Formula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sz w:val="20"/>
          <w:szCs w:val="20"/>
        </w:rPr>
        <w:t xml:space="preserve">Complete formula with INCI names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sz w:val="20"/>
          <w:szCs w:val="20"/>
        </w:rPr>
        <w:t xml:space="preserve">Percentage of each ingredient (weight/weight)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sz w:val="20"/>
          <w:szCs w:val="20"/>
        </w:rPr>
        <w:t xml:space="preserve">Function of each ingredient (emollient, fragrance, preservative, etc.)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sz w:val="20"/>
          <w:szCs w:val="20"/>
        </w:rPr>
        <w:t xml:space="preserve">Supplier name + batch number for each raw material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sz w:val="20"/>
          <w:szCs w:val="20"/>
        </w:rPr>
        <w:t xml:space="preserve">Formula version number and date</w:t>
      </w:r>
    </w:p>
    <w:p>
      <w:pPr>
        <w:pStyle w:val="Heading3"/>
        <w:spacing w:after="120" w:before="240"/>
      </w:pPr>
      <w:r>
        <w:rPr>
          <w:b w:val="false"/>
          <w:bCs w:val="false"/>
          <w:sz w:val="24"/>
          <w:szCs w:val="24"/>
        </w:rPr>
        <w:t xml:space="preserve">Section C — Raw Material Documentation</w:t>
      </w:r>
    </w:p>
    <w:p>
      <w:pPr>
        <w:spacing w:after="60" w:before="60"/>
      </w:pPr>
      <w:r>
        <w:rPr>
          <w:sz w:val="20"/>
          <w:szCs w:val="20"/>
        </w:rPr>
        <w:t xml:space="preserve">For each ingredient: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sz w:val="20"/>
          <w:szCs w:val="20"/>
        </w:rPr>
        <w:t xml:space="preserve">Certificate of Analysis (CoA) — purity, composition, heavy metals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sz w:val="20"/>
          <w:szCs w:val="20"/>
        </w:rPr>
        <w:t xml:space="preserve">Material Safety Data Sheet (MSDS / SDS)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sz w:val="20"/>
          <w:szCs w:val="20"/>
        </w:rPr>
        <w:t xml:space="preserve">Allergen declaration (especially for essential oils)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sz w:val="20"/>
          <w:szCs w:val="20"/>
        </w:rPr>
        <w:t xml:space="preserve">IFRA compliance certificate (for fragrance materials)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sz w:val="20"/>
          <w:szCs w:val="20"/>
        </w:rPr>
        <w:t xml:space="preserve">Organic / natural certification (if claimed on label)</w:t>
      </w:r>
    </w:p>
    <w:p>
      <w:pPr>
        <w:pStyle w:val="Heading3"/>
        <w:spacing w:after="120" w:before="240"/>
      </w:pPr>
      <w:r>
        <w:rPr>
          <w:b w:val="false"/>
          <w:bCs w:val="false"/>
          <w:sz w:val="24"/>
          <w:szCs w:val="24"/>
        </w:rPr>
        <w:t xml:space="preserve">Section D — Manufacturing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sz w:val="20"/>
          <w:szCs w:val="20"/>
        </w:rPr>
        <w:t xml:space="preserve">Reference to GMP manual (ISO 22716)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sz w:val="20"/>
          <w:szCs w:val="20"/>
        </w:rPr>
        <w:t xml:space="preserve">Production process description (step-by-step)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sz w:val="20"/>
          <w:szCs w:val="20"/>
        </w:rPr>
        <w:t xml:space="preserve">Batch record for each production run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sz w:val="20"/>
          <w:szCs w:val="20"/>
        </w:rPr>
        <w:t xml:space="preserve">Equipment list and cleaning procedures</w:t>
      </w:r>
    </w:p>
    <w:p>
      <w:pPr>
        <w:pStyle w:val="Heading3"/>
        <w:spacing w:after="120" w:before="240"/>
      </w:pPr>
      <w:r>
        <w:rPr>
          <w:b w:val="false"/>
          <w:bCs w:val="false"/>
          <w:sz w:val="24"/>
          <w:szCs w:val="24"/>
        </w:rPr>
        <w:t xml:space="preserve">Section E — Safety Assessment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sz w:val="20"/>
          <w:szCs w:val="20"/>
        </w:rPr>
        <w:t xml:space="preserve">Safety assessment report signed by a qualified assessor</w:t>
      </w:r>
    </w:p>
    <w:p>
      <w:pPr>
        <w:spacing w:after="60" w:before="60"/>
      </w:pPr>
      <w:r>
        <w:rPr>
          <w:sz w:val="20"/>
          <w:szCs w:val="20"/>
        </w:rPr>
        <w:t xml:space="preserve">  - Toxicological profile of each ingredient</w:t>
      </w:r>
    </w:p>
    <w:p>
      <w:pPr>
        <w:spacing w:after="60" w:before="60"/>
      </w:pPr>
      <w:r>
        <w:rPr>
          <w:sz w:val="20"/>
          <w:szCs w:val="20"/>
        </w:rPr>
        <w:t xml:space="preserve">  - Exposure assessment (frequency, area, amount)</w:t>
      </w:r>
    </w:p>
    <w:p>
      <w:pPr>
        <w:spacing w:after="60" w:before="60"/>
      </w:pPr>
      <w:r>
        <w:rPr>
          <w:sz w:val="20"/>
          <w:szCs w:val="20"/>
        </w:rPr>
        <w:t xml:space="preserve">  - Microbiological quality (challenge test or risk justification for anhydrous)</w:t>
      </w:r>
    </w:p>
    <w:p>
      <w:pPr>
        <w:spacing w:after="60" w:before="60"/>
      </w:pPr>
      <w:r>
        <w:rPr>
          <w:sz w:val="20"/>
          <w:szCs w:val="20"/>
        </w:rPr>
        <w:t xml:space="preserve">  - Stability data (at minimum: 3 months accelerated or 12 months real-time)</w:t>
      </w:r>
    </w:p>
    <w:p>
      <w:pPr>
        <w:spacing w:after="60" w:before="60"/>
      </w:pPr>
      <w:r>
        <w:rPr>
          <w:sz w:val="20"/>
          <w:szCs w:val="20"/>
        </w:rPr>
        <w:t xml:space="preserve">  - Impurity assessment (heavy metals, pesticides if applicable)</w:t>
      </w:r>
    </w:p>
    <w:p>
      <w:pPr>
        <w:spacing w:after="60" w:before="60"/>
      </w:pPr>
      <w:r>
        <w:rPr>
          <w:sz w:val="20"/>
          <w:szCs w:val="20"/>
        </w:rPr>
        <w:t xml:space="preserve">  - Overall safety conclusion</w:t>
      </w:r>
    </w:p>
    <w:p>
      <w:pPr>
        <w:spacing w:after="60" w:before="60"/>
        <w:ind w:left="720"/>
      </w:pPr>
      <w:r>
        <w:rPr>
          <w:i/>
          <w:iCs/>
          <w:color w:val="666666"/>
          <w:sz w:val="20"/>
          <w:szCs w:val="20"/>
        </w:rPr>
        <w:t xml:space="preserve">⚠️ The safety assessor must have a university diploma in pharmacy, toxicology, medicine, or equivalent (per EC 1223/2009 Art. 10(2))</w:t>
      </w:r>
    </w:p>
    <w:p>
      <w:pPr>
        <w:pStyle w:val="Heading3"/>
        <w:spacing w:after="120" w:before="240"/>
      </w:pPr>
      <w:r>
        <w:rPr>
          <w:b w:val="false"/>
          <w:bCs w:val="false"/>
          <w:sz w:val="24"/>
          <w:szCs w:val="24"/>
        </w:rPr>
        <w:t xml:space="preserve">Section F — Stability &amp; Testing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sz w:val="20"/>
          <w:szCs w:val="20"/>
        </w:rPr>
        <w:t xml:space="preserve">Stability test results (temperature cycling, shelf life)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sz w:val="20"/>
          <w:szCs w:val="20"/>
        </w:rPr>
        <w:t xml:space="preserve">Microbiological test results (or justification for waiver if anhydrous, pH &gt; 10)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sz w:val="20"/>
          <w:szCs w:val="20"/>
        </w:rPr>
        <w:t xml:space="preserve">Compatibility testing (product ↔ packaging)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sz w:val="20"/>
          <w:szCs w:val="20"/>
        </w:rPr>
        <w:t xml:space="preserve">pH measurement (soap: must be 8–10 after cure)</w:t>
      </w:r>
    </w:p>
    <w:p>
      <w:pPr>
        <w:pStyle w:val="Heading3"/>
        <w:spacing w:after="120" w:before="240"/>
      </w:pPr>
      <w:r>
        <w:rPr>
          <w:b w:val="false"/>
          <w:bCs w:val="false"/>
          <w:sz w:val="24"/>
          <w:szCs w:val="24"/>
        </w:rPr>
        <w:t xml:space="preserve">Section G — Labeling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sz w:val="20"/>
          <w:szCs w:val="20"/>
        </w:rPr>
        <w:t xml:space="preserve">Label artwork (front + back)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sz w:val="20"/>
          <w:szCs w:val="20"/>
        </w:rPr>
        <w:t xml:space="preserve">INCI ingredient list (see INCI label files)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sz w:val="20"/>
          <w:szCs w:val="20"/>
        </w:rPr>
        <w:t xml:space="preserve">Allergen callouts (EU 26 fragrance allergens)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sz w:val="20"/>
          <w:szCs w:val="20"/>
        </w:rPr>
        <w:t xml:space="preserve">Warnings and usage instructions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sz w:val="20"/>
          <w:szCs w:val="20"/>
        </w:rPr>
        <w:t xml:space="preserve">PAO symbol or expiry date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sz w:val="20"/>
          <w:szCs w:val="20"/>
        </w:rPr>
        <w:t xml:space="preserve">Batch number location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sz w:val="20"/>
          <w:szCs w:val="20"/>
        </w:rPr>
        <w:t xml:space="preserve">Responsible Person name + address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sz w:val="20"/>
          <w:szCs w:val="20"/>
        </w:rPr>
        <w:t xml:space="preserve">Country of origin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sz w:val="20"/>
          <w:szCs w:val="20"/>
        </w:rPr>
        <w:t xml:space="preserve">Net contents</w:t>
      </w:r>
    </w:p>
    <w:p>
      <w:pPr>
        <w:pStyle w:val="Heading3"/>
        <w:spacing w:after="120" w:before="240"/>
      </w:pPr>
      <w:r>
        <w:rPr>
          <w:b w:val="false"/>
          <w:bCs w:val="false"/>
          <w:sz w:val="24"/>
          <w:szCs w:val="24"/>
        </w:rPr>
        <w:t xml:space="preserve">Section H — Claims &amp; Evidence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sz w:val="20"/>
          <w:szCs w:val="20"/>
        </w:rPr>
        <w:t xml:space="preserve">Any marketing claims (e.g., "moisturizing", "soothing")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sz w:val="20"/>
          <w:szCs w:val="20"/>
        </w:rPr>
        <w:t xml:space="preserve">Supporting evidence for each claim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sz w:val="20"/>
          <w:szCs w:val="20"/>
        </w:rPr>
        <w:t xml:space="preserve">No medicinal claims (not "treats eczema" — use "helps soothe dry skin")</w:t>
      </w:r>
    </w:p>
    <w:p>
      <w:pPr>
        <w:pStyle w:val="Heading3"/>
        <w:spacing w:after="120" w:before="240"/>
      </w:pPr>
      <w:r>
        <w:rPr>
          <w:b w:val="false"/>
          <w:bCs w:val="false"/>
          <w:sz w:val="24"/>
          <w:szCs w:val="24"/>
        </w:rPr>
        <w:t xml:space="preserve">Section I — Adverse Effects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sz w:val="20"/>
          <w:szCs w:val="20"/>
        </w:rPr>
        <w:t xml:space="preserve">Log of any reported adverse effects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sz w:val="20"/>
          <w:szCs w:val="20"/>
        </w:rPr>
        <w:t xml:space="preserve">Serious adverse effect reports sent to competent authority</w:t>
      </w:r>
    </w:p>
    <w:p>
      <w:pPr>
        <w:spacing w:after="40" w:before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sz w:val="20"/>
          <w:szCs w:val="20"/>
        </w:rPr>
        <w:t xml:space="preserve">Corrective actions taken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PIF Folder Structure (per product)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PIF - [Product Name]/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01-product-description.pdf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02-formula/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formula-v1.0.pdf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└── formula-calculator-export.pdf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03-raw-materials/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CoA-beef-tallow-batch-xxx.pdf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CoA-beeswax-batch-xxx.pdf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MSDS-lavender-eo.pdf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└── ... (one per ingredient)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04-gmp-manual.pdf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05-batch-records/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BALM-20260429-01.pdf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└── ...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06-safety-assessment.pdf     ← signed by qualified assessor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07-testing/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stability-report.pdf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micro-test.pdf (or waiver)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└── compatibility-report.pdf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08-label-artwork/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label-front.pdf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label-back.pdf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└── inci-list.pdf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09-claims-evidence/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└── claim-substantiation.pdf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 10-adverse-effects-log.pdf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CPNP Notification</w:t>
      </w:r>
    </w:p>
    <w:p>
      <w:pPr>
        <w:spacing w:after="60" w:before="60"/>
      </w:pPr>
      <w:r>
        <w:rPr>
          <w:sz w:val="20"/>
          <w:szCs w:val="20"/>
        </w:rPr>
        <w:t xml:space="preserve">Before placing any product on the EU market: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1. Register on [CPNP](https://ec.europa.eu/growth/sectors/cosmetics/cpnp_en)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2. Notify each product with:</w:t>
      </w:r>
    </w:p>
    <w:p>
      <w:pPr>
        <w:spacing w:after="60" w:before="60"/>
      </w:pPr>
      <w:r>
        <w:rPr>
          <w:sz w:val="20"/>
          <w:szCs w:val="20"/>
        </w:rPr>
        <w:t xml:space="preserve">   - Product category</w:t>
      </w:r>
    </w:p>
    <w:p>
      <w:pPr>
        <w:spacing w:after="60" w:before="60"/>
      </w:pPr>
      <w:r>
        <w:rPr>
          <w:sz w:val="20"/>
          <w:szCs w:val="20"/>
        </w:rPr>
        <w:t xml:space="preserve">   - Product name</w:t>
      </w:r>
    </w:p>
    <w:p>
      <w:pPr>
        <w:spacing w:after="60" w:before="60"/>
      </w:pPr>
      <w:r>
        <w:rPr>
          <w:sz w:val="20"/>
          <w:szCs w:val="20"/>
        </w:rPr>
        <w:t xml:space="preserve">   - Responsible Person details</w:t>
      </w:r>
    </w:p>
    <w:p>
      <w:pPr>
        <w:spacing w:after="60" w:before="60"/>
      </w:pPr>
      <w:r>
        <w:rPr>
          <w:sz w:val="20"/>
          <w:szCs w:val="20"/>
        </w:rPr>
        <w:t xml:space="preserve">   - Country of origin</w:t>
      </w:r>
    </w:p>
    <w:p>
      <w:pPr>
        <w:spacing w:after="60" w:before="60"/>
      </w:pPr>
      <w:r>
        <w:rPr>
          <w:sz w:val="20"/>
          <w:szCs w:val="20"/>
        </w:rPr>
        <w:t xml:space="preserve">   - Frame formulation (ingredient categories and concentration ranges)</w:t>
      </w:r>
    </w:p>
    <w:p>
      <w:pPr>
        <w:spacing w:after="60" w:before="60"/>
      </w:pPr>
      <w:r>
        <w:rPr>
          <w:sz w:val="20"/>
          <w:szCs w:val="20"/>
        </w:rPr>
        <w:t xml:space="preserve">   - Label photo</w:t>
      </w:r>
    </w:p>
    <w:p>
      <w:pPr>
        <w:spacing w:after="60" w:before="60"/>
      </w:pPr>
      <w:r>
        <w:rPr>
          <w:sz w:val="20"/>
          <w:szCs w:val="20"/>
        </w:rPr>
        <w:t xml:space="preserve">   - Original labeling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3. Update notification if formula changes significantly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Timeline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When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Duration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Compile formula + INCI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Now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 week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Collect CoAs from suppliers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Now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1–2 weeks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Write GMP manual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Now (this folder)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Draft labels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Now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 week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Stability testing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Start immediately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3–12 months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Safety assessment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After stability data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2–4 weeks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CPNP notification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After safety assessment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 day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Market launch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After CPNP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 w:before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Pif Template</dc:title>
  <dc:creator>MOSSKYN LAB</dc:creator>
  <cp:lastModifiedBy>Un-named</cp:lastModifiedBy>
  <cp:revision>1</cp:revision>
  <dcterms:created xsi:type="dcterms:W3CDTF">2026-04-29T00:27:27.829Z</dcterms:created>
  <dcterms:modified xsi:type="dcterms:W3CDTF">2026-04-29T00:27:27.829Z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