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mexqhfcyqb4" w:id="0"/>
      <w:bookmarkEnd w:id="0"/>
      <w:r w:rsidDel="00000000" w:rsidR="00000000" w:rsidRPr="00000000">
        <w:rPr>
          <w:rtl w:val="0"/>
        </w:rPr>
        <w:t xml:space="preserve">Executive Summary: Jagdeep Singh 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 &amp; Focus</w:t>
      </w:r>
      <w:r w:rsidDel="00000000" w:rsidR="00000000" w:rsidRPr="00000000">
        <w:rPr>
          <w:rtl w:val="0"/>
        </w:rPr>
        <w:br w:type="textWrapping"/>
        <w:t xml:space="preserve">Deputy Chief Minister II of Penang (since Aug 2023), overseeing Human Capital Development and Science &amp; Technology—NOT health services. Positioning Penang as "Silicon Valley of Talent" through AI initiatives, semiconductor workforce development (10,000 workers by 2025), and innovation ecosystem building.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Political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5-term Datok Keramat assemblyman (since 2008) with consistently strong majorities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Eldest son of legendary Karpal Singh; brother to Minister Gobind Singh Deo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Proven delivery record: 25,555 affordable housing units (5x more than predecessor BN government)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Significant Sikh community leadership through gurdwara restoration and heritage advocacy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 Data-driven, achievement-focused, assertive. Uses specific metrics extensively. Strong federal-state contrast narrative. Demands concrete deliverables, timelines, and measurable outcomes.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Mental Health Project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Frame Through His 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Workforce productivity</w:t>
      </w:r>
      <w:r w:rsidDel="00000000" w:rsidR="00000000" w:rsidRPr="00000000">
        <w:rPr>
          <w:rtl w:val="0"/>
        </w:rPr>
        <w:t xml:space="preserve"> - 51% of Malaysian workers at high mental health risk directly impacts his 10,000 skilled worker recruitment goal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Technology integration</w:t>
      </w:r>
      <w:r w:rsidDel="00000000" w:rsidR="00000000" w:rsidRPr="00000000">
        <w:rPr>
          <w:rtl w:val="0"/>
        </w:rPr>
        <w:t xml:space="preserve"> - E-mental health/AI solutions align with Science &amp; Technology portfolio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Youth talent pipeline</w:t>
      </w:r>
      <w:r w:rsidDel="00000000" w:rsidR="00000000" w:rsidRPr="00000000">
        <w:rPr>
          <w:rtl w:val="0"/>
        </w:rPr>
        <w:t xml:space="preserve"> - 18.3% adolescent depression rate threatens Penang's future workforce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State leadership model</w:t>
      </w:r>
      <w:r w:rsidDel="00000000" w:rsidR="00000000" w:rsidRPr="00000000">
        <w:rPr>
          <w:rtl w:val="0"/>
        </w:rPr>
        <w:t xml:space="preserve"> - Fill federal gaps (his recurring theme)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Success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Present concrete KPIs, budgets, timelines (avoid vagueness)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ROI given Penang's RM467M budget deficit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Emphasize multi-stakeholder collaboration (MNCs, universities, NGOs)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Position mental health as economic competitiveness issue, not just healthcare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Coordinate with actual health portfolio holders (Daniel Gooi, Lim Siew Khim)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Jagdeep doesn't control health services but as Deputy CM with Human Capital Development oversight, he's a strategic ally if mental health is positioned as workforce development infrastructure—similar to how he revolutionized housing. Bring data, specific proposals, and quick wins.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