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7f0cd4d143beb3f80347eaabe78f1a9146fc21"/>
    <w:p>
      <w:pPr>
        <w:pStyle w:val="1"/>
      </w:pPr>
      <w:r>
        <w:t xml:space="preserve">02-19 Meeting: Payment-First Booking, Acuity–Stripe Integration, and Dashboard MVP Plan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Action Items</w:t>
      </w:r>
    </w:p>
    <w:p>
      <w:pPr>
        <w:pStyle w:val="Compact"/>
        <w:numPr>
          <w:ilvl w:val="0"/>
          <w:numId w:val="1001"/>
        </w:numPr>
      </w:pPr>
      <w:r>
        <w:t xml:space="preserve">@Brandon A. - Send the PRD document detailing backend API wiring and database plan to the team - Due Date not mentioned.</w:t>
      </w:r>
    </w:p>
    <w:p>
      <w:pPr>
        <w:pStyle w:val="Compact"/>
        <w:numPr>
          <w:ilvl w:val="0"/>
          <w:numId w:val="1001"/>
        </w:numPr>
      </w:pPr>
      <w:r>
        <w:t xml:space="preserve">@Brandon A. - Research and propose a gateway solution to enforce mandatory payment before booking completion - No due date mentioned.</w:t>
      </w:r>
    </w:p>
    <w:p>
      <w:pPr>
        <w:pStyle w:val="Compact"/>
        <w:numPr>
          <w:ilvl w:val="0"/>
          <w:numId w:val="1001"/>
        </w:numPr>
      </w:pPr>
      <w:r>
        <w:t xml:space="preserve">@Brandon A. - Design and outline Twilio integration for automated payment reminders based on database status and event date offsets - No due date mentioned.</w:t>
      </w:r>
    </w:p>
    <w:p>
      <w:pPr>
        <w:pStyle w:val="Compact"/>
        <w:numPr>
          <w:ilvl w:val="0"/>
          <w:numId w:val="1001"/>
        </w:numPr>
      </w:pPr>
      <w:r>
        <w:t xml:space="preserve">@Brandon A. - Research feasibility of enforcing payment-before-completion as a hard condition in the registration flow - No due date mentioned.</w:t>
      </w:r>
    </w:p>
    <w:p>
      <w:pPr>
        <w:pStyle w:val="Compact"/>
        <w:numPr>
          <w:ilvl w:val="0"/>
          <w:numId w:val="1001"/>
        </w:numPr>
      </w:pPr>
      <w:r>
        <w:t xml:space="preserve">@Brandon A. - Share a more solid game plan after initial research, likely by tomorrow - No due date mentioned.</w:t>
      </w:r>
    </w:p>
    <w:p>
      <w:pPr>
        <w:pStyle w:val="FirstParagraph"/>
      </w:pPr>
      <w:r>
        <w:t xml:space="preserve">Key Decisions</w:t>
      </w:r>
    </w:p>
    <w:p>
      <w:pPr>
        <w:pStyle w:val="Compact"/>
        <w:numPr>
          <w:ilvl w:val="0"/>
          <w:numId w:val="1002"/>
        </w:numPr>
      </w:pPr>
      <w:r>
        <w:t xml:space="preserve">Proceed with candid, detailed feedback to refine requirements and align on vision — Rationale: Brandon’s follow-ups are intended to gather requirements and understand the vision.</w:t>
      </w:r>
    </w:p>
    <w:p>
      <w:pPr>
        <w:pStyle w:val="Compact"/>
        <w:numPr>
          <w:ilvl w:val="0"/>
          <w:numId w:val="1002"/>
        </w:numPr>
      </w:pPr>
      <w:r>
        <w:t xml:space="preserve">Preference expressed to require payment before booking completion — Rationale: Eliminate scenarios requiring checks of whether people paid; focus on integration to prevent the problem rather than tracking after the fact. (Note: Not a formal decision; recorded as a stated preference.)</w:t>
      </w:r>
    </w:p>
    <w:p>
      <w:pPr>
        <w:pStyle w:val="FirstParagraph"/>
      </w:pPr>
      <w:r>
        <w:t xml:space="preserve">Detailed Minutes</w:t>
      </w:r>
    </w:p>
    <w:p>
      <w:pPr>
        <w:pStyle w:val="a2"/>
      </w:pPr>
      <w:r>
        <w:t xml:space="preserve">0-56480</w:t>
      </w:r>
      <w:r>
        <w:t xml:space="preserve"> </w:t>
      </w:r>
      <w:r>
        <w:rPr>
          <w:b/>
          <w:bCs/>
        </w:rPr>
        <w:t xml:space="preserve">Opening and readiness; non-project banter.</w:t>
      </w:r>
    </w:p>
    <w:p>
      <w:pPr>
        <w:pStyle w:val="Compact"/>
        <w:numPr>
          <w:ilvl w:val="0"/>
          <w:numId w:val="1003"/>
        </w:numPr>
      </w:pPr>
      <w:r>
        <w:t xml:space="preserve">Brandon mentions a minor personal matter, confirms he has notes and is ready.</w:t>
      </w:r>
    </w:p>
    <w:p>
      <w:pPr>
        <w:pStyle w:val="Compact"/>
        <w:numPr>
          <w:ilvl w:val="0"/>
          <w:numId w:val="1003"/>
        </w:numPr>
      </w:pPr>
      <w:r>
        <w:t xml:space="preserve">Participants exchange greetings and brief humor; no substantive project content.</w:t>
      </w:r>
    </w:p>
    <w:p>
      <w:pPr>
        <w:pStyle w:val="FirstParagraph"/>
      </w:pPr>
      <w:r>
        <w:t xml:space="preserve">58400-86380</w:t>
      </w:r>
      <w:r>
        <w:t xml:space="preserve"> </w:t>
      </w:r>
      <w:r>
        <w:rPr>
          <w:b/>
          <w:bCs/>
        </w:rPr>
        <w:t xml:space="preserve">Commitment to candid feedback for requirements gathering.</w:t>
      </w:r>
    </w:p>
    <w:p>
      <w:pPr>
        <w:pStyle w:val="Compact"/>
        <w:numPr>
          <w:ilvl w:val="0"/>
          <w:numId w:val="1004"/>
        </w:numPr>
      </w:pPr>
      <w:r>
        <w:t xml:space="preserve">Brian acknowledges Brandon’s detailed preparation and thorough reading.</w:t>
      </w:r>
    </w:p>
    <w:p>
      <w:pPr>
        <w:pStyle w:val="Compact"/>
        <w:numPr>
          <w:ilvl w:val="0"/>
          <w:numId w:val="1004"/>
        </w:numPr>
      </w:pPr>
      <w:r>
        <w:t xml:space="preserve">Brandon requests candid feedback to support requirements gathering and capturing the project vision.</w:t>
      </w:r>
    </w:p>
    <w:p>
      <w:pPr>
        <w:pStyle w:val="Compact"/>
        <w:numPr>
          <w:ilvl w:val="0"/>
          <w:numId w:val="1004"/>
        </w:numPr>
      </w:pPr>
      <w:r>
        <w:t xml:space="preserve">Key Decision: Proceed with candid, detailed feedback to refine requirements and align on vision — Rationale: Align on requirements and vision through follow-ups.</w:t>
      </w:r>
    </w:p>
    <w:p>
      <w:pPr>
        <w:pStyle w:val="FirstParagraph"/>
      </w:pPr>
      <w:r>
        <w:t xml:space="preserve">88840-123560</w:t>
      </w:r>
      <w:r>
        <w:t xml:space="preserve"> </w:t>
      </w:r>
      <w:r>
        <w:rPr>
          <w:b/>
          <w:bCs/>
        </w:rPr>
        <w:t xml:space="preserve">Agreeing on approach: start with interface/flow and QED integration context.</w:t>
      </w:r>
    </w:p>
    <w:p>
      <w:pPr>
        <w:pStyle w:val="Compact"/>
        <w:numPr>
          <w:ilvl w:val="0"/>
          <w:numId w:val="1005"/>
        </w:numPr>
      </w:pPr>
      <w:r>
        <w:t xml:space="preserve">Team considers discussing broadly vs. diving into the app.</w:t>
      </w:r>
    </w:p>
    <w:p>
      <w:pPr>
        <w:pStyle w:val="Compact"/>
        <w:numPr>
          <w:ilvl w:val="0"/>
          <w:numId w:val="1005"/>
        </w:numPr>
      </w:pPr>
      <w:r>
        <w:t xml:space="preserve">Consensus to focus on interface, user flow, and integration into the queue/QED system before specifics.</w:t>
      </w:r>
    </w:p>
    <w:p>
      <w:pPr>
        <w:pStyle w:val="FirstParagraph"/>
      </w:pPr>
      <w:r>
        <w:t xml:space="preserve">124160-165630</w:t>
      </w:r>
      <w:r>
        <w:t xml:space="preserve"> </w:t>
      </w:r>
      <w:r>
        <w:rPr>
          <w:b/>
          <w:bCs/>
        </w:rPr>
        <w:t xml:space="preserve">PRD overview: backend/API wiring and state-based database plan.</w:t>
      </w:r>
    </w:p>
    <w:p>
      <w:pPr>
        <w:pStyle w:val="Compact"/>
        <w:numPr>
          <w:ilvl w:val="0"/>
          <w:numId w:val="1006"/>
        </w:numPr>
      </w:pPr>
      <w:r>
        <w:t xml:space="preserve">Brandon describes a PRD covering backend technical requirements and API integration.</w:t>
      </w:r>
    </w:p>
    <w:p>
      <w:pPr>
        <w:pStyle w:val="Compact"/>
        <w:numPr>
          <w:ilvl w:val="0"/>
          <w:numId w:val="1006"/>
        </w:numPr>
      </w:pPr>
      <w:r>
        <w:t xml:space="preserve">Proposes a state-based data management approach using PostgreSQL.</w:t>
      </w:r>
    </w:p>
    <w:p>
      <w:pPr>
        <w:pStyle w:val="Compact"/>
        <w:numPr>
          <w:ilvl w:val="0"/>
          <w:numId w:val="1006"/>
        </w:numPr>
      </w:pPr>
      <w:r>
        <w:t xml:space="preserve">Notes the PRD may not have been sent yet.</w:t>
      </w:r>
    </w:p>
    <w:p>
      <w:pPr>
        <w:pStyle w:val="Compact"/>
        <w:numPr>
          <w:ilvl w:val="0"/>
          <w:numId w:val="1006"/>
        </w:numPr>
      </w:pPr>
      <w:r>
        <w:t xml:space="preserve">Action Item: @Brandon A. - Send the PRD document detailing backend API wiring and database plan to the team - Due Date not mentioned.</w:t>
      </w:r>
    </w:p>
    <w:p>
      <w:pPr>
        <w:pStyle w:val="FirstParagraph"/>
      </w:pPr>
      <w:r>
        <w:t xml:space="preserve">167910-236380</w:t>
      </w:r>
      <w:r>
        <w:t xml:space="preserve"> </w:t>
      </w:r>
      <w:r>
        <w:rPr>
          <w:b/>
          <w:bCs/>
        </w:rPr>
        <w:t xml:space="preserve">Access model: custom dashboard with Acuity API key; users won’t log into Acuity.</w:t>
      </w:r>
    </w:p>
    <w:p>
      <w:pPr>
        <w:pStyle w:val="Compact"/>
        <w:numPr>
          <w:ilvl w:val="0"/>
          <w:numId w:val="1007"/>
        </w:numPr>
      </w:pPr>
      <w:r>
        <w:t xml:space="preserve">Users will access a custom dashboard; backend communicates with Acuity via API key.</w:t>
      </w:r>
    </w:p>
    <w:p>
      <w:pPr>
        <w:pStyle w:val="Compact"/>
        <w:numPr>
          <w:ilvl w:val="0"/>
          <w:numId w:val="1007"/>
        </w:numPr>
      </w:pPr>
      <w:r>
        <w:t xml:space="preserve">The API key acts like a password to enable backend integration; user interaction with Acuity is abstracted away.</w:t>
      </w:r>
    </w:p>
    <w:p>
      <w:pPr>
        <w:pStyle w:val="FirstParagraph"/>
      </w:pPr>
      <w:r>
        <w:t xml:space="preserve">236580-242280</w:t>
      </w:r>
      <w:r>
        <w:t xml:space="preserve"> </w:t>
      </w:r>
      <w:r>
        <w:rPr>
          <w:b/>
          <w:bCs/>
        </w:rPr>
        <w:t xml:space="preserve">Data connectivity confirmation.</w:t>
      </w:r>
    </w:p>
    <w:p>
      <w:pPr>
        <w:pStyle w:val="Compact"/>
        <w:numPr>
          <w:ilvl w:val="0"/>
          <w:numId w:val="1008"/>
        </w:numPr>
      </w:pPr>
      <w:r>
        <w:t xml:space="preserve">Dashboard will connect to Acuity data and keep the interface updated.</w:t>
      </w:r>
    </w:p>
    <w:p>
      <w:pPr>
        <w:pStyle w:val="Compact"/>
        <w:numPr>
          <w:ilvl w:val="0"/>
          <w:numId w:val="1008"/>
        </w:numPr>
      </w:pPr>
      <w:r>
        <w:t xml:space="preserve">Brandon checks for understanding.</w:t>
      </w:r>
    </w:p>
    <w:p>
      <w:pPr>
        <w:pStyle w:val="FirstParagraph"/>
      </w:pPr>
      <w:r>
        <w:t xml:space="preserve">243060-304000</w:t>
      </w:r>
      <w:r>
        <w:t xml:space="preserve"> </w:t>
      </w:r>
      <w:r>
        <w:rPr>
          <w:b/>
          <w:bCs/>
        </w:rPr>
        <w:t xml:space="preserve">Accessing the dashboard and deployment approach; mockup clarified; hosting options.</w:t>
      </w:r>
    </w:p>
    <w:p>
      <w:pPr>
        <w:pStyle w:val="Compact"/>
        <w:numPr>
          <w:ilvl w:val="0"/>
          <w:numId w:val="1009"/>
        </w:numPr>
      </w:pPr>
      <w:r>
        <w:t xml:space="preserve">Merged takeaway: Access to the dashboard will begin via an externally hosted MVP (e.g., Vercel), with later decisions on domain integration or a dedicated portal.</w:t>
      </w:r>
    </w:p>
    <w:p>
      <w:pPr>
        <w:pStyle w:val="Compact"/>
        <w:numPr>
          <w:ilvl w:val="0"/>
          <w:numId w:val="1009"/>
        </w:numPr>
      </w:pPr>
      <w:r>
        <w:t xml:space="preserve">Brandon begins to address “how would we access the dashboard,” clarifying the shared artifact was a front-end mockup, not a V1 deliverable.</w:t>
      </w:r>
    </w:p>
    <w:p>
      <w:pPr>
        <w:pStyle w:val="Compact"/>
        <w:numPr>
          <w:ilvl w:val="0"/>
          <w:numId w:val="1009"/>
        </w:numPr>
      </w:pPr>
      <w:r>
        <w:t xml:space="preserve">Proposes temporarily hosting on Vercel for MVP speed, iteration, and easy migration.</w:t>
      </w:r>
    </w:p>
    <w:p>
      <w:pPr>
        <w:pStyle w:val="Compact"/>
        <w:numPr>
          <w:ilvl w:val="0"/>
          <w:numId w:val="1009"/>
        </w:numPr>
      </w:pPr>
      <w:r>
        <w:t xml:space="preserve">Asks whether to integrate as a portal on the existing domain (Just Love Forest) or create a dedicated site.</w:t>
      </w:r>
    </w:p>
    <w:p>
      <w:pPr>
        <w:pStyle w:val="FirstParagraph"/>
      </w:pPr>
      <w:r>
        <w:t xml:space="preserve">305320-369210</w:t>
      </w:r>
      <w:r>
        <w:t xml:space="preserve"> </w:t>
      </w:r>
      <w:r>
        <w:rPr>
          <w:b/>
          <w:bCs/>
        </w:rPr>
        <w:t xml:space="preserve">Phased hosting decision: external first, then main domain with login.</w:t>
      </w:r>
    </w:p>
    <w:p>
      <w:pPr>
        <w:pStyle w:val="Compact"/>
        <w:numPr>
          <w:ilvl w:val="0"/>
          <w:numId w:val="1010"/>
        </w:numPr>
      </w:pPr>
      <w:r>
        <w:t xml:space="preserve">Brandon outlines hosting options and favors Vercel for rapid iteration.</w:t>
      </w:r>
    </w:p>
    <w:p>
      <w:pPr>
        <w:pStyle w:val="Compact"/>
        <w:numPr>
          <w:ilvl w:val="0"/>
          <w:numId w:val="1010"/>
        </w:numPr>
      </w:pPr>
      <w:r>
        <w:t xml:space="preserve">Brian agrees to start externally and later move under the main domain with authentication once confident.</w:t>
      </w:r>
    </w:p>
    <w:p>
      <w:pPr>
        <w:pStyle w:val="FirstParagraph"/>
      </w:pPr>
      <w:r>
        <w:t xml:space="preserve">370170-421880</w:t>
      </w:r>
      <w:r>
        <w:t xml:space="preserve"> </w:t>
      </w:r>
      <w:r>
        <w:rPr>
          <w:b/>
          <w:bCs/>
        </w:rPr>
        <w:t xml:space="preserve">Clarifying registration/payment workflow confusion; request to review live.</w:t>
      </w:r>
    </w:p>
    <w:p>
      <w:pPr>
        <w:pStyle w:val="Compact"/>
        <w:numPr>
          <w:ilvl w:val="0"/>
          <w:numId w:val="1011"/>
        </w:numPr>
      </w:pPr>
      <w:r>
        <w:t xml:space="preserve">Brian seeks to reconcile Stripe redirection and paid vs. unpaid registrations.</w:t>
      </w:r>
    </w:p>
    <w:p>
      <w:pPr>
        <w:pStyle w:val="Compact"/>
        <w:numPr>
          <w:ilvl w:val="0"/>
          <w:numId w:val="1011"/>
        </w:numPr>
      </w:pPr>
      <w:r>
        <w:t xml:space="preserve">Suggests a screen share to review the app and resolve confusion.</w:t>
      </w:r>
    </w:p>
    <w:p>
      <w:pPr>
        <w:pStyle w:val="FirstParagraph"/>
      </w:pPr>
      <w:r>
        <w:t xml:space="preserve">437540-552000</w:t>
      </w:r>
      <w:r>
        <w:t xml:space="preserve"> </w:t>
      </w:r>
      <w:r>
        <w:rPr>
          <w:b/>
          <w:bCs/>
        </w:rPr>
        <w:t xml:space="preserve">Switch to FaceTime for screen sharing.</w:t>
      </w:r>
    </w:p>
    <w:p>
      <w:pPr>
        <w:pStyle w:val="Compact"/>
        <w:numPr>
          <w:ilvl w:val="0"/>
          <w:numId w:val="1012"/>
        </w:numPr>
      </w:pPr>
      <w:r>
        <w:t xml:space="preserve">Team confirms Apple devices; FaceTime initiated.</w:t>
      </w:r>
    </w:p>
    <w:p>
      <w:pPr>
        <w:pStyle w:val="Compact"/>
        <w:numPr>
          <w:ilvl w:val="0"/>
          <w:numId w:val="1012"/>
        </w:numPr>
      </w:pPr>
      <w:r>
        <w:t xml:space="preserve">Audio and video established after brief setup.</w:t>
      </w:r>
    </w:p>
    <w:p>
      <w:pPr>
        <w:pStyle w:val="FirstParagraph"/>
      </w:pPr>
      <w:r>
        <w:t xml:space="preserve">563660-624050</w:t>
      </w:r>
      <w:r>
        <w:t xml:space="preserve"> </w:t>
      </w:r>
      <w:r>
        <w:rPr>
          <w:b/>
          <w:bCs/>
        </w:rPr>
        <w:t xml:space="preserve">Begin demonstration; request for guidance.</w:t>
      </w:r>
    </w:p>
    <w:p>
      <w:pPr>
        <w:pStyle w:val="Compact"/>
        <w:numPr>
          <w:ilvl w:val="0"/>
          <w:numId w:val="1013"/>
        </w:numPr>
      </w:pPr>
      <w:r>
        <w:t xml:space="preserve">Brandon shares screen and asks where to start.</w:t>
      </w:r>
    </w:p>
    <w:p>
      <w:pPr>
        <w:pStyle w:val="FirstParagraph"/>
      </w:pPr>
      <w:r>
        <w:t xml:space="preserve">624170-673700</w:t>
      </w:r>
      <w:r>
        <w:t xml:space="preserve"> </w:t>
      </w:r>
      <w:r>
        <w:rPr>
          <w:b/>
          <w:bCs/>
        </w:rPr>
        <w:t xml:space="preserve">Event creation flow: Acuity + Stripe setup; backend pulls Acuity data.</w:t>
      </w:r>
    </w:p>
    <w:p>
      <w:pPr>
        <w:pStyle w:val="Compact"/>
        <w:numPr>
          <w:ilvl w:val="0"/>
          <w:numId w:val="1014"/>
        </w:numPr>
      </w:pPr>
      <w:r>
        <w:t xml:space="preserve">Naveed outlines creating events in Acuity and Stripe, resulting in two identifiers.</w:t>
      </w:r>
    </w:p>
    <w:p>
      <w:pPr>
        <w:pStyle w:val="Compact"/>
        <w:numPr>
          <w:ilvl w:val="0"/>
          <w:numId w:val="1014"/>
        </w:numPr>
      </w:pPr>
      <w:r>
        <w:t xml:space="preserve">Brandon confirms: Acuity event creation triggers API workflow to fetch and store event info in the backend and populate the dashboard.</w:t>
      </w:r>
    </w:p>
    <w:p>
      <w:pPr>
        <w:pStyle w:val="FirstParagraph"/>
      </w:pPr>
      <w:r>
        <w:t xml:space="preserve">675620-762000</w:t>
      </w:r>
      <w:r>
        <w:t xml:space="preserve"> </w:t>
      </w:r>
      <w:r>
        <w:rPr>
          <w:b/>
          <w:bCs/>
        </w:rPr>
        <w:t xml:space="preserve">Addressing unpaid registrations: Stripe webhooks and integration options.</w:t>
      </w:r>
    </w:p>
    <w:p>
      <w:pPr>
        <w:pStyle w:val="Compact"/>
        <w:numPr>
          <w:ilvl w:val="0"/>
          <w:numId w:val="1015"/>
        </w:numPr>
      </w:pPr>
      <w:r>
        <w:t xml:space="preserve">Prior flow led to registrations without payment.</w:t>
      </w:r>
    </w:p>
    <w:p>
      <w:pPr>
        <w:pStyle w:val="Compact"/>
        <w:numPr>
          <w:ilvl w:val="0"/>
          <w:numId w:val="1015"/>
        </w:numPr>
      </w:pPr>
      <w:r>
        <w:t xml:space="preserve">Discussion of payment-first vs. registration-first with reminders or tighter integration.</w:t>
      </w:r>
    </w:p>
    <w:p>
      <w:pPr>
        <w:pStyle w:val="Compact"/>
        <w:numPr>
          <w:ilvl w:val="0"/>
          <w:numId w:val="1015"/>
        </w:numPr>
      </w:pPr>
      <w:r>
        <w:t xml:space="preserve">Brandon notes Stripe webhooks can update the internal database on payment events for the dashboard.</w:t>
      </w:r>
    </w:p>
    <w:p>
      <w:pPr>
        <w:pStyle w:val="FirstParagraph"/>
      </w:pPr>
      <w:r>
        <w:t xml:space="preserve">763970-814910</w:t>
      </w:r>
      <w:r>
        <w:t xml:space="preserve"> </w:t>
      </w:r>
      <w:r>
        <w:rPr>
          <w:b/>
          <w:bCs/>
        </w:rPr>
        <w:t xml:space="preserve">Risk of unpaid signups from general advertising.</w:t>
      </w:r>
    </w:p>
    <w:p>
      <w:pPr>
        <w:pStyle w:val="Compact"/>
        <w:numPr>
          <w:ilvl w:val="0"/>
          <w:numId w:val="1016"/>
        </w:numPr>
      </w:pPr>
      <w:r>
        <w:t xml:space="preserve">Brian highlights increased unpaid signups and the risk of people showing up unpaid despite reminders.</w:t>
      </w:r>
    </w:p>
    <w:p>
      <w:pPr>
        <w:pStyle w:val="Compact"/>
        <w:numPr>
          <w:ilvl w:val="0"/>
          <w:numId w:val="1016"/>
        </w:numPr>
      </w:pPr>
      <w:r>
        <w:t xml:space="preserve">Notes this is an undesirable workaround.</w:t>
      </w:r>
    </w:p>
    <w:p>
      <w:pPr>
        <w:pStyle w:val="FirstParagraph"/>
      </w:pPr>
      <w:r>
        <w:t xml:space="preserve">815090-834000</w:t>
      </w:r>
      <w:r>
        <w:t xml:space="preserve"> </w:t>
      </w:r>
      <w:r>
        <w:rPr>
          <w:b/>
          <w:bCs/>
        </w:rPr>
        <w:t xml:space="preserve">Ideal solution discussion; current interim is payment-first.</w:t>
      </w:r>
    </w:p>
    <w:p>
      <w:pPr>
        <w:pStyle w:val="Compact"/>
        <w:numPr>
          <w:ilvl w:val="0"/>
          <w:numId w:val="1017"/>
        </w:numPr>
      </w:pPr>
      <w:r>
        <w:t xml:space="preserve">Brandon asks for ideal solution.</w:t>
      </w:r>
    </w:p>
    <w:p>
      <w:pPr>
        <w:pStyle w:val="Compact"/>
        <w:numPr>
          <w:ilvl w:val="0"/>
          <w:numId w:val="1017"/>
        </w:numPr>
      </w:pPr>
      <w:r>
        <w:t xml:space="preserve">Brian explains current live flow requires payment first, then redirects to Acuity for registration details.</w:t>
      </w:r>
    </w:p>
    <w:p>
      <w:pPr>
        <w:pStyle w:val="FirstParagraph"/>
      </w:pPr>
      <w:r>
        <w:t xml:space="preserve">885610-1018980</w:t>
      </w:r>
      <w:r>
        <w:t xml:space="preserve"> </w:t>
      </w:r>
      <w:r>
        <w:rPr>
          <w:b/>
          <w:bCs/>
        </w:rPr>
        <w:t xml:space="preserve">Preference for customary flow: intake first, then payment; limits in Acuity’s native payment.</w:t>
      </w:r>
    </w:p>
    <w:p>
      <w:pPr>
        <w:pStyle w:val="Compact"/>
        <w:numPr>
          <w:ilvl w:val="0"/>
          <w:numId w:val="1018"/>
        </w:numPr>
      </w:pPr>
      <w:r>
        <w:t xml:space="preserve">Brian prefers intake in Acuity first, then payment.</w:t>
      </w:r>
    </w:p>
    <w:p>
      <w:pPr>
        <w:pStyle w:val="Compact"/>
        <w:numPr>
          <w:ilvl w:val="0"/>
          <w:numId w:val="1018"/>
        </w:numPr>
      </w:pPr>
      <w:r>
        <w:t xml:space="preserve">Acuity’s native payment is off due to tax handling and variable amount needs, which Stripe supports.</w:t>
      </w:r>
    </w:p>
    <w:p>
      <w:pPr>
        <w:pStyle w:val="Compact"/>
        <w:numPr>
          <w:ilvl w:val="0"/>
          <w:numId w:val="1018"/>
        </w:numPr>
      </w:pPr>
      <w:r>
        <w:t xml:space="preserve">Ideal: replace “Book Class” with “Submit Payment” leading to Stripe; end process after payment.</w:t>
      </w:r>
    </w:p>
    <w:p>
      <w:pPr>
        <w:pStyle w:val="FirstParagraph"/>
      </w:pPr>
      <w:r>
        <w:t xml:space="preserve">1088230-1152700</w:t>
      </w:r>
      <w:r>
        <w:t xml:space="preserve"> </w:t>
      </w:r>
      <w:r>
        <w:rPr>
          <w:b/>
          <w:bCs/>
        </w:rPr>
        <w:t xml:space="preserve">Exploring redirects: Acuity within Squarespace vs. backend coordination.</w:t>
      </w:r>
    </w:p>
    <w:p>
      <w:pPr>
        <w:pStyle w:val="Compact"/>
        <w:numPr>
          <w:ilvl w:val="0"/>
          <w:numId w:val="1019"/>
        </w:numPr>
      </w:pPr>
      <w:r>
        <w:t xml:space="preserve">Brian questions redirecting “Book Class” to Stripe within Squarespace without breaking Acuity.</w:t>
      </w:r>
    </w:p>
    <w:p>
      <w:pPr>
        <w:pStyle w:val="Compact"/>
        <w:numPr>
          <w:ilvl w:val="0"/>
          <w:numId w:val="1019"/>
        </w:numPr>
      </w:pPr>
      <w:r>
        <w:t xml:space="preserve">Brandon asks if direct Acuity-to-Stripe is necessary, proposing reliance on internal database and APIs.</w:t>
      </w:r>
    </w:p>
    <w:p>
      <w:pPr>
        <w:pStyle w:val="Compact"/>
        <w:numPr>
          <w:ilvl w:val="0"/>
          <w:numId w:val="1019"/>
        </w:numPr>
      </w:pPr>
      <w:r>
        <w:t xml:space="preserve">Brian wants flow where Acuity collects info, then “Submit Payment” takes them to Stripe; after payment, system marks the person as booked.</w:t>
      </w:r>
    </w:p>
    <w:p>
      <w:pPr>
        <w:pStyle w:val="FirstParagraph"/>
      </w:pPr>
      <w:r>
        <w:t xml:space="preserve">1226650-1340190</w:t>
      </w:r>
      <w:r>
        <w:t xml:space="preserve"> </w:t>
      </w:r>
      <w:r>
        <w:rPr>
          <w:b/>
          <w:bCs/>
        </w:rPr>
        <w:t xml:space="preserve">Webhook-driven state tracking; enforce booking only with payment.</w:t>
      </w:r>
    </w:p>
    <w:p>
      <w:pPr>
        <w:pStyle w:val="Compact"/>
        <w:numPr>
          <w:ilvl w:val="0"/>
          <w:numId w:val="1020"/>
        </w:numPr>
      </w:pPr>
      <w:r>
        <w:t xml:space="preserve">Brandon proposes webhooks from Acuity and Stripe to update a database with sign-up, payment status, and amount, reflected on the dashboard.</w:t>
      </w:r>
    </w:p>
    <w:p>
      <w:pPr>
        <w:pStyle w:val="Compact"/>
        <w:numPr>
          <w:ilvl w:val="0"/>
          <w:numId w:val="1020"/>
        </w:numPr>
      </w:pPr>
      <w:r>
        <w:t xml:space="preserve">Brian emphasizes no one should be considered signed up unless Stripe shows payment.</w:t>
      </w:r>
    </w:p>
    <w:p>
      <w:pPr>
        <w:pStyle w:val="Compact"/>
        <w:numPr>
          <w:ilvl w:val="0"/>
          <w:numId w:val="1020"/>
        </w:numPr>
      </w:pPr>
      <w:r>
        <w:t xml:space="preserve">Brandon agrees to implement logic gates to prevent unpaid registrations being treated as bookings.</w:t>
      </w:r>
    </w:p>
    <w:p>
      <w:pPr>
        <w:pStyle w:val="FirstParagraph"/>
      </w:pPr>
      <w:r>
        <w:t xml:space="preserve">1335330-1385520</w:t>
      </w:r>
      <w:r>
        <w:t xml:space="preserve"> </w:t>
      </w:r>
      <w:r>
        <w:rPr>
          <w:b/>
          <w:bCs/>
        </w:rPr>
        <w:t xml:space="preserve">Restating the break and desired behavior.</w:t>
      </w:r>
    </w:p>
    <w:p>
      <w:pPr>
        <w:pStyle w:val="Compact"/>
        <w:numPr>
          <w:ilvl w:val="0"/>
          <w:numId w:val="1021"/>
        </w:numPr>
      </w:pPr>
      <w:r>
        <w:t xml:space="preserve">Naveed summarizes: Acuity currently completes booking before payment by showing a Stripe link on confirmation; team wants payment first.</w:t>
      </w:r>
    </w:p>
    <w:p>
      <w:pPr>
        <w:pStyle w:val="FirstParagraph"/>
      </w:pPr>
      <w:r>
        <w:t xml:space="preserve">1385820-1513080</w:t>
      </w:r>
      <w:r>
        <w:t xml:space="preserve"> </w:t>
      </w:r>
      <w:r>
        <w:rPr>
          <w:b/>
          <w:bCs/>
        </w:rPr>
        <w:t xml:space="preserve">Backend state model to gate booking by payment; maintain Stripe page; clarify records and gating.</w:t>
      </w:r>
    </w:p>
    <w:p>
      <w:pPr>
        <w:pStyle w:val="Compact"/>
        <w:numPr>
          <w:ilvl w:val="0"/>
          <w:numId w:val="1022"/>
        </w:numPr>
      </w:pPr>
      <w:r>
        <w:t xml:space="preserve">Brandon notes Stripe requires redirect to its payment page; no workaround likely.</w:t>
      </w:r>
    </w:p>
    <w:p>
      <w:pPr>
        <w:pStyle w:val="Compact"/>
        <w:numPr>
          <w:ilvl w:val="0"/>
          <w:numId w:val="1022"/>
        </w:numPr>
      </w:pPr>
      <w:r>
        <w:t xml:space="preserve">Brian prefers keeping the current Stripe payment page and wonders if Acuity can redirect before confirming booking and then get a callback for full booking.</w:t>
      </w:r>
    </w:p>
    <w:p>
      <w:pPr>
        <w:pStyle w:val="Compact"/>
        <w:numPr>
          <w:ilvl w:val="0"/>
          <w:numId w:val="1022"/>
        </w:numPr>
      </w:pPr>
      <w:r>
        <w:t xml:space="preserve">Brandon explains plan: Acuity signup marks “registered” in database; Stripe payment updates payment state; dashboard tracks states like registered, paid, attended, dietary preference via PostgreSQL and logic gates to prevent unpaid registrations from counting.</w:t>
      </w:r>
    </w:p>
    <w:p>
      <w:pPr>
        <w:pStyle w:val="Compact"/>
        <w:numPr>
          <w:ilvl w:val="0"/>
          <w:numId w:val="1022"/>
        </w:numPr>
      </w:pPr>
      <w:r>
        <w:t xml:space="preserve">Merged context: “Like sign up that they come and stuff like that. Yeah,” is resolved as part of the explanation of tracking sign-up, payment, and attendance states and gating attendance by payment.</w:t>
      </w:r>
    </w:p>
    <w:p>
      <w:pPr>
        <w:pStyle w:val="FirstParagraph"/>
      </w:pPr>
      <w:r>
        <w:t xml:space="preserve">1513080-1539310</w:t>
      </w:r>
      <w:r>
        <w:t xml:space="preserve"> </w:t>
      </w:r>
      <w:r>
        <w:rPr>
          <w:b/>
          <w:bCs/>
        </w:rPr>
        <w:t xml:space="preserve">Payment as a mandatory condition for API data and registration completion.</w:t>
      </w:r>
    </w:p>
    <w:p>
      <w:pPr>
        <w:pStyle w:val="Compact"/>
        <w:numPr>
          <w:ilvl w:val="0"/>
          <w:numId w:val="1023"/>
        </w:numPr>
      </w:pPr>
      <w:r>
        <w:t xml:space="preserve">Naveed clarifies data should not enter their API unless both conditions (registration + payment) are met; users shouldn’t be able to do one without the other.</w:t>
      </w:r>
    </w:p>
    <w:p>
      <w:pPr>
        <w:pStyle w:val="Compact"/>
        <w:numPr>
          <w:ilvl w:val="0"/>
          <w:numId w:val="1023"/>
        </w:numPr>
      </w:pPr>
      <w:r>
        <w:t xml:space="preserve">Brandon affirms it must be a requirement.</w:t>
      </w:r>
    </w:p>
    <w:p>
      <w:pPr>
        <w:pStyle w:val="Compact"/>
        <w:numPr>
          <w:ilvl w:val="0"/>
          <w:numId w:val="1023"/>
        </w:numPr>
      </w:pPr>
      <w:r>
        <w:t xml:space="preserve">Brian analogizes hotel bookings: no reservation exists without payment if a page is abandoned.</w:t>
      </w:r>
    </w:p>
    <w:p>
      <w:pPr>
        <w:pStyle w:val="FirstParagraph"/>
      </w:pPr>
      <w:r>
        <w:t xml:space="preserve">1560790-1612449</w:t>
      </w:r>
      <w:r>
        <w:t xml:space="preserve"> </w:t>
      </w:r>
      <w:r>
        <w:rPr>
          <w:b/>
          <w:bCs/>
        </w:rPr>
        <w:t xml:space="preserve">Gateway exploration and data capture stance.</w:t>
      </w:r>
    </w:p>
    <w:p>
      <w:pPr>
        <w:pStyle w:val="Compact"/>
        <w:numPr>
          <w:ilvl w:val="0"/>
          <w:numId w:val="1024"/>
        </w:numPr>
      </w:pPr>
      <w:r>
        <w:t xml:space="preserve">Brandon will research a gateway to enforce payment-before-booking and report back.</w:t>
      </w:r>
    </w:p>
    <w:p>
      <w:pPr>
        <w:pStyle w:val="Compact"/>
        <w:numPr>
          <w:ilvl w:val="0"/>
          <w:numId w:val="1024"/>
        </w:numPr>
      </w:pPr>
      <w:r>
        <w:t xml:space="preserve">Action Item: @Brandon A. - Research and propose a gateway solution to enforce mandatory payment before booking completion - No due date mentioned.</w:t>
      </w:r>
    </w:p>
    <w:p>
      <w:pPr>
        <w:pStyle w:val="Compact"/>
        <w:numPr>
          <w:ilvl w:val="0"/>
          <w:numId w:val="1024"/>
        </w:numPr>
      </w:pPr>
      <w:r>
        <w:t xml:space="preserve">Brandon argues the ERP should still capture both who started sign-up and who paid; no decision reached.</w:t>
      </w:r>
    </w:p>
    <w:p>
      <w:pPr>
        <w:pStyle w:val="Compact"/>
        <w:numPr>
          <w:ilvl w:val="0"/>
          <w:numId w:val="1024"/>
        </w:numPr>
      </w:pPr>
      <w:r>
        <w:t xml:space="preserve">Suggests making Stripe payment mandatory before booking.</w:t>
      </w:r>
    </w:p>
    <w:p>
      <w:pPr>
        <w:pStyle w:val="FirstParagraph"/>
      </w:pPr>
      <w:r>
        <w:t xml:space="preserve">1613710-1641810</w:t>
      </w:r>
      <w:r>
        <w:t xml:space="preserve"> </w:t>
      </w:r>
      <w:r>
        <w:rPr>
          <w:b/>
          <w:bCs/>
        </w:rPr>
        <w:t xml:space="preserve">Handling incomplete registrations; outreach to non-paying registrants.</w:t>
      </w:r>
    </w:p>
    <w:p>
      <w:pPr>
        <w:pStyle w:val="Compact"/>
        <w:numPr>
          <w:ilvl w:val="0"/>
          <w:numId w:val="1025"/>
        </w:numPr>
      </w:pPr>
      <w:r>
        <w:t xml:space="preserve">Brian asks about treating non-payment as incomplete reservations for outreach.</w:t>
      </w:r>
    </w:p>
    <w:p>
      <w:pPr>
        <w:pStyle w:val="Compact"/>
        <w:numPr>
          <w:ilvl w:val="0"/>
          <w:numId w:val="1025"/>
        </w:numPr>
      </w:pPr>
      <w:r>
        <w:t xml:space="preserve">Brandon confirms this use case, leveraging rich API data.</w:t>
      </w:r>
    </w:p>
    <w:p>
      <w:pPr>
        <w:pStyle w:val="FirstParagraph"/>
      </w:pPr>
      <w:r>
        <w:t xml:space="preserve">1642890-1685870</w:t>
      </w:r>
      <w:r>
        <w:t xml:space="preserve"> </w:t>
      </w:r>
      <w:r>
        <w:rPr>
          <w:b/>
          <w:bCs/>
        </w:rPr>
        <w:t xml:space="preserve">Operational challenges with uncertain attendees.</w:t>
      </w:r>
    </w:p>
    <w:p>
      <w:pPr>
        <w:pStyle w:val="Compact"/>
        <w:numPr>
          <w:ilvl w:val="0"/>
          <w:numId w:val="1026"/>
        </w:numPr>
      </w:pPr>
      <w:r>
        <w:t xml:space="preserve">Brian explains the burden of confirming attendance among less organized participants and aims to reduce manual follow-ups.</w:t>
      </w:r>
    </w:p>
    <w:p>
      <w:pPr>
        <w:pStyle w:val="FirstParagraph"/>
      </w:pPr>
      <w:r>
        <w:t xml:space="preserve">1685870-1759250</w:t>
      </w:r>
      <w:r>
        <w:t xml:space="preserve"> </w:t>
      </w:r>
      <w:r>
        <w:rPr>
          <w:b/>
          <w:bCs/>
        </w:rPr>
        <w:t xml:space="preserve">Automated reminders via Twilio for unpaid registrants.</w:t>
      </w:r>
    </w:p>
    <w:p>
      <w:pPr>
        <w:pStyle w:val="Compact"/>
        <w:numPr>
          <w:ilvl w:val="0"/>
          <w:numId w:val="1027"/>
        </w:numPr>
      </w:pPr>
      <w:r>
        <w:t xml:space="preserve">Brandon proposes Twilio-based text reminders using Python and the backend database to prompt payment before events.</w:t>
      </w:r>
    </w:p>
    <w:p>
      <w:pPr>
        <w:pStyle w:val="Compact"/>
        <w:numPr>
          <w:ilvl w:val="0"/>
          <w:numId w:val="1027"/>
        </w:numPr>
      </w:pPr>
      <w:r>
        <w:t xml:space="preserve">Example: send a friendly reminder to unpaid registrants three days before the event.</w:t>
      </w:r>
    </w:p>
    <w:p>
      <w:pPr>
        <w:pStyle w:val="Compact"/>
        <w:numPr>
          <w:ilvl w:val="0"/>
          <w:numId w:val="1027"/>
        </w:numPr>
      </w:pPr>
      <w:r>
        <w:t xml:space="preserve">Action Item: @Brandon A. - Design and outline Twilio integration for automated payment reminders based on database status and event date offsets - No due date mentioned.</w:t>
      </w:r>
    </w:p>
    <w:p>
      <w:pPr>
        <w:pStyle w:val="FirstParagraph"/>
      </w:pPr>
      <w:r>
        <w:t xml:space="preserve">1759790-1833440</w:t>
      </w:r>
      <w:r>
        <w:t xml:space="preserve"> </w:t>
      </w:r>
      <w:r>
        <w:rPr>
          <w:b/>
          <w:bCs/>
        </w:rPr>
        <w:t xml:space="preserve">Comparing flexible vs. strict registration models.</w:t>
      </w:r>
    </w:p>
    <w:p>
      <w:pPr>
        <w:pStyle w:val="Compact"/>
        <w:numPr>
          <w:ilvl w:val="0"/>
          <w:numId w:val="1028"/>
        </w:numPr>
      </w:pPr>
      <w:r>
        <w:t xml:space="preserve">Model 1: Flexible sign-up, later payment, more signups but ambiguity and follow-up burden.</w:t>
      </w:r>
    </w:p>
    <w:p>
      <w:pPr>
        <w:pStyle w:val="Compact"/>
        <w:numPr>
          <w:ilvl w:val="0"/>
          <w:numId w:val="1028"/>
        </w:numPr>
      </w:pPr>
      <w:r>
        <w:t xml:space="preserve">Model 2: Strict payment-before-booking, clearer planning but potentially fewer signups.</w:t>
      </w:r>
    </w:p>
    <w:p>
      <w:pPr>
        <w:pStyle w:val="Compact"/>
        <w:numPr>
          <w:ilvl w:val="0"/>
          <w:numId w:val="1028"/>
        </w:numPr>
      </w:pPr>
      <w:r>
        <w:t xml:space="preserve">No formal decision; trade-offs acknowledged.</w:t>
      </w:r>
    </w:p>
    <w:p>
      <w:pPr>
        <w:pStyle w:val="FirstParagraph"/>
      </w:pPr>
      <w:r>
        <w:t xml:space="preserve">1833560-1920810</w:t>
      </w:r>
      <w:r>
        <w:t xml:space="preserve"> </w:t>
      </w:r>
      <w:r>
        <w:rPr>
          <w:b/>
          <w:bCs/>
        </w:rPr>
        <w:t xml:space="preserve">Why sign-up without payment doesn’t ensure attendance.</w:t>
      </w:r>
    </w:p>
    <w:p>
      <w:pPr>
        <w:pStyle w:val="Compact"/>
        <w:numPr>
          <w:ilvl w:val="0"/>
          <w:numId w:val="1029"/>
        </w:numPr>
      </w:pPr>
      <w:r>
        <w:t xml:space="preserve">Brandon asks why sign-ups wouldn’t indicate attendance.</w:t>
      </w:r>
    </w:p>
    <w:p>
      <w:pPr>
        <w:pStyle w:val="Compact"/>
        <w:numPr>
          <w:ilvl w:val="0"/>
          <w:numId w:val="1029"/>
        </w:numPr>
      </w:pPr>
      <w:r>
        <w:t xml:space="preserve">Brian explains unpaid sign-ups leave uncertainty until just before or at arrival, complicating logistics.</w:t>
      </w:r>
    </w:p>
    <w:p>
      <w:pPr>
        <w:pStyle w:val="FirstParagraph"/>
      </w:pPr>
      <w:r>
        <w:t xml:space="preserve">1921050-1999310</w:t>
      </w:r>
      <w:r>
        <w:t xml:space="preserve"> </w:t>
      </w:r>
      <w:r>
        <w:rPr>
          <w:b/>
          <w:bCs/>
        </w:rPr>
        <w:t xml:space="preserve">Alignment on researching payment-before-booking feasibility; preference to eliminate unpaid booking.</w:t>
      </w:r>
    </w:p>
    <w:p>
      <w:pPr>
        <w:pStyle w:val="Compact"/>
        <w:numPr>
          <w:ilvl w:val="0"/>
          <w:numId w:val="1030"/>
        </w:numPr>
      </w:pPr>
      <w:r>
        <w:t xml:space="preserve">Brandon commits to researching feasibility of a hard condition to prevent completion without payment; mentions personal constraints.</w:t>
      </w:r>
    </w:p>
    <w:p>
      <w:pPr>
        <w:pStyle w:val="Compact"/>
        <w:numPr>
          <w:ilvl w:val="0"/>
          <w:numId w:val="1030"/>
        </w:numPr>
      </w:pPr>
      <w:r>
        <w:t xml:space="preserve">Action Item: @Brandon A. - Research feasibility of enforcing payment-before-completion as a hard condition in the registration flow - No due date mentioned.</w:t>
      </w:r>
    </w:p>
    <w:p>
      <w:pPr>
        <w:pStyle w:val="Compact"/>
        <w:numPr>
          <w:ilvl w:val="0"/>
          <w:numId w:val="1030"/>
        </w:numPr>
      </w:pPr>
      <w:r>
        <w:t xml:space="preserve">Naveed reiterates preference to require payment before booking; avoid post-hoc checks.</w:t>
      </w:r>
    </w:p>
    <w:p>
      <w:pPr>
        <w:pStyle w:val="Compact"/>
        <w:numPr>
          <w:ilvl w:val="0"/>
          <w:numId w:val="1030"/>
        </w:numPr>
      </w:pPr>
      <w:r>
        <w:t xml:space="preserve">Key Decision: Preference expressed to require payment before booking completion; not yet a formal decision.</w:t>
      </w:r>
    </w:p>
    <w:p>
      <w:pPr>
        <w:pStyle w:val="FirstParagraph"/>
      </w:pPr>
      <w:r>
        <w:t xml:space="preserve">2000030-2052380</w:t>
      </w:r>
      <w:r>
        <w:t xml:space="preserve"> </w:t>
      </w:r>
      <w:r>
        <w:rPr>
          <w:b/>
          <w:bCs/>
        </w:rPr>
        <w:t xml:space="preserve">Time-box research; near-term plan.</w:t>
      </w:r>
    </w:p>
    <w:p>
      <w:pPr>
        <w:pStyle w:val="Compact"/>
        <w:numPr>
          <w:ilvl w:val="0"/>
          <w:numId w:val="1031"/>
        </w:numPr>
      </w:pPr>
      <w:r>
        <w:t xml:space="preserve">Brian advises time-boxing to avoid a wild goose chase; reiterates non-urgency.</w:t>
      </w:r>
    </w:p>
    <w:p>
      <w:pPr>
        <w:pStyle w:val="Compact"/>
        <w:numPr>
          <w:ilvl w:val="0"/>
          <w:numId w:val="1031"/>
        </w:numPr>
      </w:pPr>
      <w:r>
        <w:t xml:space="preserve">Brandon outlines personal schedule and commits to sharing a more solid game plan soon.</w:t>
      </w:r>
    </w:p>
    <w:p>
      <w:pPr>
        <w:pStyle w:val="Compact"/>
        <w:numPr>
          <w:ilvl w:val="0"/>
          <w:numId w:val="1031"/>
        </w:numPr>
      </w:pPr>
      <w:r>
        <w:t xml:space="preserve">Action Item: @Brandon A. - Share a more solid game plan after initial research, likely by tomorrow - No due date mentioned.</w:t>
      </w:r>
    </w:p>
    <w:p>
      <w:pPr>
        <w:pStyle w:val="FirstParagraph"/>
      </w:pPr>
      <w:r>
        <w:t xml:space="preserve">2052920-2086620</w:t>
      </w:r>
      <w:r>
        <w:t xml:space="preserve"> </w:t>
      </w:r>
      <w:r>
        <w:rPr>
          <w:b/>
          <w:bCs/>
        </w:rPr>
        <w:t xml:space="preserve">Positive feedback on dashboard mockup.</w:t>
      </w:r>
    </w:p>
    <w:p>
      <w:pPr>
        <w:pStyle w:val="Compact"/>
        <w:numPr>
          <w:ilvl w:val="0"/>
          <w:numId w:val="1032"/>
        </w:numPr>
      </w:pPr>
      <w:r>
        <w:t xml:space="preserve">Brian says the dashboard could be a “night and day difference” and “change everything,” with nuances to discuss.</w:t>
      </w:r>
    </w:p>
    <w:p>
      <w:pPr>
        <w:pStyle w:val="Compact"/>
        <w:numPr>
          <w:ilvl w:val="0"/>
          <w:numId w:val="1032"/>
        </w:numPr>
      </w:pPr>
      <w:r>
        <w:t xml:space="preserve">Brandon acknowledges and appreciates feedback.</w:t>
      </w:r>
    </w:p>
    <w:p>
      <w:pPr>
        <w:pStyle w:val="FirstParagraph"/>
      </w:pPr>
      <w:r>
        <w:t xml:space="preserve">2088000-2154359</w:t>
      </w:r>
      <w:r>
        <w:t xml:space="preserve"> </w:t>
      </w:r>
      <w:r>
        <w:rPr>
          <w:b/>
          <w:bCs/>
        </w:rPr>
        <w:t xml:space="preserve">Scheduling and informal close.</w:t>
      </w:r>
    </w:p>
    <w:p>
      <w:pPr>
        <w:pStyle w:val="Compact"/>
        <w:numPr>
          <w:ilvl w:val="0"/>
          <w:numId w:val="1033"/>
        </w:numPr>
      </w:pPr>
      <w:r>
        <w:t xml:space="preserve">Discussion of weekend travel logistics and plans to coordinate the next chat.</w:t>
      </w:r>
    </w:p>
    <w:p>
      <w:pPr>
        <w:pStyle w:val="Compact"/>
        <w:numPr>
          <w:ilvl w:val="0"/>
          <w:numId w:val="1033"/>
        </w:numPr>
      </w:pPr>
      <w:r>
        <w:t xml:space="preserve">Positive closing remarks and appreciation exchanged.</w:t>
      </w:r>
    </w:p>
    <w:bookmarkEnd w:id="20"/>
    <w:sectPr w:rsidR="00275E2C">
      <w:pgSz w:h="16838" w:w="11906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pos="780" w:val="left"/>
        </w:tabs>
        <w:ind w:hanging="360" w:hangingChars="200" w:left="780" w:leftChars="200"/>
      </w:pPr>
    </w:lvl>
  </w:abstractNum>
  <w:abstractNum w15:restartNumberingAfterBreak="0" w:abstractNumId="1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pos="780" w:val="left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2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pos="360" w:val="left"/>
        </w:tabs>
        <w:ind w:hanging="360" w:hangingChars="200" w:left="360"/>
      </w:pPr>
    </w:lvl>
  </w:abstractNum>
  <w:abstractNum w15:restartNumberingAfterBreak="0" w:abstractNumId="3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pos="360" w:val="left"/>
        </w:tabs>
        <w:ind w:hanging="360" w:hangingChars="200" w:left="3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25454790" w:numId="1">
    <w:abstractNumId w:val="0"/>
  </w:num>
  <w:num w16cid:durableId="1848398556" w:numId="2">
    <w:abstractNumId w:val="2"/>
  </w:num>
  <w:num w16cid:durableId="1840075167" w:numId="3">
    <w:abstractNumId w:val="3"/>
  </w:num>
  <w:num w16cid:durableId="1470247572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1CC"/>
    <w:rsid w:val="F57A143E"/>
    <w:rsid w:val="FF53E7DD"/>
    <w:rsid w:val="00012906"/>
    <w:rsid w:val="000C1ABD"/>
    <w:rsid w:val="000D1E8A"/>
    <w:rsid w:val="000F3D3C"/>
    <w:rsid w:val="0011788E"/>
    <w:rsid w:val="00167011"/>
    <w:rsid w:val="001824E5"/>
    <w:rsid w:val="001A30C6"/>
    <w:rsid w:val="001B0185"/>
    <w:rsid w:val="001B2E68"/>
    <w:rsid w:val="00271600"/>
    <w:rsid w:val="00275E2C"/>
    <w:rsid w:val="00284976"/>
    <w:rsid w:val="00290063"/>
    <w:rsid w:val="002D5AAF"/>
    <w:rsid w:val="00315AC2"/>
    <w:rsid w:val="00337933"/>
    <w:rsid w:val="00353684"/>
    <w:rsid w:val="00365A06"/>
    <w:rsid w:val="00386B56"/>
    <w:rsid w:val="003E512C"/>
    <w:rsid w:val="003F6589"/>
    <w:rsid w:val="00402858"/>
    <w:rsid w:val="00455D51"/>
    <w:rsid w:val="004804EF"/>
    <w:rsid w:val="004B1E78"/>
    <w:rsid w:val="004D308B"/>
    <w:rsid w:val="00512CA9"/>
    <w:rsid w:val="005140DE"/>
    <w:rsid w:val="00515E7E"/>
    <w:rsid w:val="005641A8"/>
    <w:rsid w:val="005646E9"/>
    <w:rsid w:val="0057446D"/>
    <w:rsid w:val="00584C65"/>
    <w:rsid w:val="005C33F3"/>
    <w:rsid w:val="00605308"/>
    <w:rsid w:val="006203D4"/>
    <w:rsid w:val="006B04C2"/>
    <w:rsid w:val="007453A1"/>
    <w:rsid w:val="007535F6"/>
    <w:rsid w:val="00786E81"/>
    <w:rsid w:val="007938B8"/>
    <w:rsid w:val="008033E1"/>
    <w:rsid w:val="0085162E"/>
    <w:rsid w:val="00865C7C"/>
    <w:rsid w:val="00900CCC"/>
    <w:rsid w:val="00932E5F"/>
    <w:rsid w:val="00962302"/>
    <w:rsid w:val="00993CBA"/>
    <w:rsid w:val="009A3D3D"/>
    <w:rsid w:val="009E145E"/>
    <w:rsid w:val="00A21265"/>
    <w:rsid w:val="00A625F9"/>
    <w:rsid w:val="00A7127D"/>
    <w:rsid w:val="00A81885"/>
    <w:rsid w:val="00A82518"/>
    <w:rsid w:val="00A8796D"/>
    <w:rsid w:val="00AB1A36"/>
    <w:rsid w:val="00AC75E8"/>
    <w:rsid w:val="00AD4E46"/>
    <w:rsid w:val="00B221B6"/>
    <w:rsid w:val="00B34BC6"/>
    <w:rsid w:val="00B5019A"/>
    <w:rsid w:val="00BF11CC"/>
    <w:rsid w:val="00C1108E"/>
    <w:rsid w:val="00C14B89"/>
    <w:rsid w:val="00C865AB"/>
    <w:rsid w:val="00C9144D"/>
    <w:rsid w:val="00C94844"/>
    <w:rsid w:val="00DB673F"/>
    <w:rsid w:val="00E04222"/>
    <w:rsid w:val="00E07649"/>
    <w:rsid w:val="00E64F6C"/>
    <w:rsid w:val="00EC331D"/>
    <w:rsid w:val="00F15494"/>
    <w:rsid w:val="00F75CC4"/>
    <w:rsid w:val="00FC1DF5"/>
    <w:rsid w:val="00FC30D7"/>
    <w:rsid w:val="00FD44F7"/>
    <w:rsid w:val="00FE2A3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footnote text" w:qFormat="1" w:uiPriority="9" w:unhideWhenUsed="1"/>
    <w:lsdException w:name="Title" w:qFormat="1" w:uiPriority="10"/>
    <w:lsdException w:name="Default Paragraph Font" w:semiHidden="1" w:uiPriority="1" w:unhideWhenUsed="1"/>
    <w:lsdException w:name="Body Text" w:qFormat="1"/>
    <w:lsdException w:name="Subtitle" w:qFormat="1" w:uiPriority="11"/>
    <w:lsdException w:name="Date" w:qFormat="1"/>
    <w:lsdException w:name="Block Text" w:qFormat="1" w:uiPriority="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1" w:type="paragraph">
    <w:name w:val="Normal"/>
    <w:qFormat/>
    <w:pPr>
      <w:spacing w:after="200"/>
    </w:pPr>
    <w:rPr>
      <w:sz w:val="24"/>
      <w:szCs w:val="24"/>
      <w:lang w:eastAsia="en-US"/>
    </w:rPr>
  </w:style>
  <w:style w:styleId="1" w:type="paragraph">
    <w:name w:val="heading 1"/>
    <w:basedOn w:val="a1"/>
    <w:next w:val="a2"/>
    <w:link w:val="10"/>
    <w:uiPriority w:val="9"/>
    <w:qFormat/>
    <w:rsid w:val="00FC1DF5"/>
    <w:pPr>
      <w:spacing w:after="80" w:before="480"/>
      <w:outlineLvl w:val="0"/>
    </w:pPr>
    <w:rPr>
      <w:rFonts w:ascii="Arial" w:cs="Arial" w:eastAsia="Arial" w:hAnsi="Arial"/>
      <w:b/>
      <w:bCs/>
      <w:color w:themeColor="text1" w:val="000000"/>
      <w:sz w:val="44"/>
      <w:szCs w:val="40"/>
    </w:rPr>
  </w:style>
  <w:style w:styleId="21" w:type="paragraph">
    <w:name w:val="heading 2"/>
    <w:basedOn w:val="a1"/>
    <w:next w:val="a2"/>
    <w:link w:val="22"/>
    <w:uiPriority w:val="9"/>
    <w:semiHidden/>
    <w:unhideWhenUsed/>
    <w:qFormat/>
    <w:rsid w:val="00605308"/>
    <w:pPr>
      <w:spacing w:after="80" w:before="320" w:line="360" w:lineRule="auto"/>
      <w:outlineLvl w:val="1"/>
    </w:pPr>
    <w:rPr>
      <w:rFonts w:ascii="Arial" w:cs="Arial" w:eastAsia="Arial" w:hAnsi="Arial"/>
      <w:b/>
      <w:bCs/>
      <w:color w:themeColor="text1" w:val="000000"/>
      <w:sz w:val="32"/>
      <w:szCs w:val="32"/>
    </w:rPr>
  </w:style>
  <w:style w:styleId="3" w:type="paragraph">
    <w:name w:val="heading 3"/>
    <w:basedOn w:val="a1"/>
    <w:next w:val="a2"/>
    <w:link w:val="30"/>
    <w:uiPriority w:val="9"/>
    <w:semiHidden/>
    <w:unhideWhenUsed/>
    <w:qFormat/>
    <w:rsid w:val="00584C65"/>
    <w:pPr>
      <w:spacing w:after="40" w:before="100" w:line="360" w:lineRule="auto"/>
      <w:outlineLvl w:val="2"/>
    </w:pPr>
    <w:rPr>
      <w:rFonts w:ascii="Arial" w:cs="Arial" w:eastAsia="Arial" w:hAnsi="Arial"/>
      <w:b/>
      <w:bCs/>
      <w:color w:themeColor="text1" w:val="000000"/>
      <w:sz w:val="28"/>
      <w:szCs w:val="28"/>
    </w:rPr>
  </w:style>
  <w:style w:styleId="4" w:type="paragraph">
    <w:name w:val="heading 4"/>
    <w:basedOn w:val="a1"/>
    <w:next w:val="a2"/>
    <w:link w:val="40"/>
    <w:uiPriority w:val="9"/>
    <w:semiHidden/>
    <w:unhideWhenUsed/>
    <w:qFormat/>
    <w:pPr>
      <w:spacing w:after="40" w:before="80"/>
      <w:outlineLvl w:val="3"/>
    </w:pPr>
    <w:rPr>
      <w:rFonts w:ascii="Arial" w:cs="Arial" w:eastAsia="Arial" w:hAnsi="Arial"/>
      <w:b/>
      <w:color w:themeColor="text1" w:val="000000"/>
    </w:rPr>
  </w:style>
  <w:style w:styleId="5" w:type="paragraph">
    <w:name w:val="heading 5"/>
    <w:basedOn w:val="a1"/>
    <w:next w:val="a2"/>
    <w:link w:val="50"/>
    <w:uiPriority w:val="9"/>
    <w:semiHidden/>
    <w:unhideWhenUsed/>
    <w:qFormat/>
    <w:rsid w:val="00962302"/>
    <w:pPr>
      <w:spacing w:after="40" w:before="80"/>
      <w:outlineLvl w:val="4"/>
    </w:pPr>
    <w:rPr>
      <w:rFonts w:ascii="微软雅黑" w:cs="微软雅黑" w:eastAsia="Arial" w:hAnsi="微软雅黑"/>
      <w:color w:themeColor="text1" w:val="000000"/>
    </w:rPr>
  </w:style>
  <w:style w:styleId="6" w:type="paragraph">
    <w:name w:val="heading 6"/>
    <w:basedOn w:val="a1"/>
    <w:next w:val="a2"/>
    <w:link w:val="60"/>
    <w:uiPriority w:val="9"/>
    <w:semiHidden/>
    <w:unhideWhenUsed/>
    <w:qFormat/>
    <w:rsid w:val="00962302"/>
    <w:pPr>
      <w:spacing w:after="0" w:before="40"/>
      <w:outlineLvl w:val="5"/>
    </w:pPr>
    <w:rPr>
      <w:rFonts w:ascii="微软雅黑" w:cs="微软雅黑" w:eastAsia="Arial" w:hAnsi="微软雅黑"/>
      <w:color w:themeColor="text1" w:val="000000"/>
    </w:rPr>
  </w:style>
  <w:style w:styleId="7" w:type="paragraph">
    <w:name w:val="heading 7"/>
    <w:basedOn w:val="a1"/>
    <w:next w:val="a2"/>
    <w:link w:val="70"/>
    <w:uiPriority w:val="9"/>
    <w:semiHidden/>
    <w:unhideWhenUsed/>
    <w:qFormat/>
    <w:rsid w:val="00962302"/>
    <w:pPr>
      <w:spacing w:after="0" w:before="40"/>
      <w:outlineLvl w:val="6"/>
    </w:pPr>
    <w:rPr>
      <w:rFonts w:ascii="微软雅黑" w:cs="微软雅黑" w:eastAsia="Arial" w:hAnsi="微软雅黑"/>
      <w:color w:themeColor="text1" w:val="000000"/>
    </w:rPr>
  </w:style>
  <w:style w:styleId="8" w:type="paragraph">
    <w:name w:val="heading 8"/>
    <w:basedOn w:val="a1"/>
    <w:next w:val="a2"/>
    <w:link w:val="80"/>
    <w:uiPriority w:val="9"/>
    <w:semiHidden/>
    <w:unhideWhenUsed/>
    <w:qFormat/>
    <w:rsid w:val="00962302"/>
    <w:pPr>
      <w:spacing w:after="0"/>
      <w:outlineLvl w:val="7"/>
    </w:pPr>
    <w:rPr>
      <w:rFonts w:cstheme="majorBidi" w:eastAsia="Arial"/>
      <w:iCs/>
      <w:color w:themeColor="text1" w:val="000000"/>
    </w:rPr>
  </w:style>
  <w:style w:styleId="9" w:type="paragraph">
    <w:name w:val="heading 9"/>
    <w:basedOn w:val="a1"/>
    <w:next w:val="a2"/>
    <w:link w:val="90"/>
    <w:uiPriority w:val="9"/>
    <w:semiHidden/>
    <w:unhideWhenUsed/>
    <w:qFormat/>
    <w:pPr>
      <w:spacing w:after="0"/>
      <w:outlineLvl w:val="8"/>
    </w:pPr>
    <w:rPr>
      <w:rFonts w:cstheme="majorBidi" w:eastAsia="Arial"/>
      <w:color w:themeColor="text1" w:themeTint="D8" w:val="272727"/>
    </w:rPr>
  </w:style>
  <w:style w:default="1" w:styleId="a3" w:type="character">
    <w:name w:val="Default Paragraph Font"/>
    <w:uiPriority w:val="1"/>
    <w:semiHidden/>
    <w:unhideWhenUsed/>
  </w:style>
  <w:style w:default="1" w:styleId="a4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5" w:type="numbering">
    <w:name w:val="No List"/>
    <w:uiPriority w:val="99"/>
    <w:semiHidden/>
    <w:unhideWhenUsed/>
  </w:style>
  <w:style w:styleId="a2" w:type="paragraph">
    <w:name w:val="Body Text"/>
    <w:basedOn w:val="a1"/>
    <w:qFormat/>
    <w:rsid w:val="00962302"/>
    <w:pPr>
      <w:spacing w:after="180" w:before="100"/>
    </w:pPr>
    <w:rPr>
      <w:rFonts w:ascii="Arial" w:cs="Arial" w:eastAsia="Arial" w:hAnsi="Arial"/>
      <w:color w:themeColor="text1" w:val="000000"/>
    </w:rPr>
  </w:style>
  <w:style w:styleId="2" w:type="paragraph">
    <w:name w:val="List Number 2"/>
    <w:basedOn w:val="a1"/>
    <w:pPr>
      <w:numPr>
        <w:numId w:val="1"/>
      </w:numPr>
      <w:contextualSpacing/>
    </w:pPr>
    <w:rPr>
      <w:rFonts w:ascii="Arial" w:cs="Arial" w:eastAsia="Arial" w:hAnsi="Arial"/>
    </w:rPr>
  </w:style>
  <w:style w:styleId="a" w:type="paragraph">
    <w:name w:val="List Number"/>
    <w:basedOn w:val="a1"/>
    <w:pPr>
      <w:numPr>
        <w:numId w:val="2"/>
      </w:numPr>
      <w:spacing w:line="360" w:lineRule="auto"/>
      <w:contextualSpacing/>
    </w:pPr>
    <w:rPr>
      <w:rFonts w:ascii="Arial" w:cs="Arial" w:eastAsia="Arial" w:hAnsi="Arial"/>
      <w:b/>
      <w:bCs/>
    </w:rPr>
  </w:style>
  <w:style w:styleId="a6" w:type="paragraph">
    <w:name w:val="caption"/>
    <w:basedOn w:val="a1"/>
    <w:link w:val="a7"/>
    <w:pPr>
      <w:spacing w:after="120"/>
    </w:pPr>
    <w:rPr>
      <w:i/>
    </w:rPr>
  </w:style>
  <w:style w:styleId="a0" w:type="paragraph">
    <w:name w:val="List Bullet"/>
    <w:basedOn w:val="a1"/>
    <w:rsid w:val="00A82518"/>
    <w:pPr>
      <w:numPr>
        <w:numId w:val="3"/>
      </w:numPr>
      <w:spacing w:before="200" w:line="360" w:lineRule="auto"/>
      <w:ind w:hanging="200" w:left="200"/>
      <w:contextualSpacing/>
    </w:pPr>
    <w:rPr>
      <w:rFonts w:ascii="Arial" w:cs="Arial" w:eastAsia="Arial" w:hAnsi="Arial"/>
      <w:b/>
      <w:bCs/>
    </w:rPr>
  </w:style>
  <w:style w:styleId="a8" w:type="paragraph">
    <w:name w:val="Block Text"/>
    <w:basedOn w:val="a2"/>
    <w:next w:val="a2"/>
    <w:uiPriority w:val="9"/>
    <w:unhideWhenUsed/>
    <w:qFormat/>
    <w:rsid w:val="00C94844"/>
    <w:pPr>
      <w:pBdr>
        <w:left w:color="D1D1D1" w:space="4" w:sz="24" w:themeColor="background2" w:themeShade="E6" w:val="single"/>
      </w:pBdr>
      <w:spacing w:after="100"/>
      <w:ind w:left="397" w:right="482"/>
    </w:pPr>
    <w:rPr>
      <w:color w:themeColor="background2" w:themeShade="80" w:val="747474"/>
    </w:rPr>
  </w:style>
  <w:style w:styleId="20" w:type="paragraph">
    <w:name w:val="List Bullet 2"/>
    <w:basedOn w:val="a1"/>
    <w:rsid w:val="00A82518"/>
    <w:pPr>
      <w:numPr>
        <w:numId w:val="4"/>
      </w:numPr>
      <w:spacing w:before="120" w:line="360" w:lineRule="auto"/>
      <w:ind w:hanging="200" w:left="400"/>
      <w:contextualSpacing/>
    </w:pPr>
    <w:rPr>
      <w:rFonts w:ascii="Arial" w:cs="Arial" w:eastAsia="Arial" w:hAnsi="Arial"/>
    </w:rPr>
  </w:style>
  <w:style w:styleId="a9" w:type="paragraph">
    <w:name w:val="Date"/>
    <w:next w:val="a2"/>
    <w:qFormat/>
    <w:pPr>
      <w:spacing w:after="200"/>
      <w:jc w:val="center"/>
    </w:pPr>
    <w:rPr>
      <w:rFonts w:eastAsia="Arial"/>
      <w:sz w:val="24"/>
      <w:szCs w:val="24"/>
      <w:lang w:eastAsia="en-US"/>
    </w:rPr>
  </w:style>
  <w:style w:styleId="aa" w:type="paragraph">
    <w:name w:val="Subtitle"/>
    <w:basedOn w:val="ab"/>
    <w:next w:val="a2"/>
    <w:link w:val="ac"/>
    <w:uiPriority w:val="11"/>
    <w:qFormat/>
    <w:rPr>
      <w:spacing w:val="15"/>
      <w:sz w:val="28"/>
      <w:szCs w:val="28"/>
    </w:rPr>
  </w:style>
  <w:style w:styleId="ab" w:type="paragraph">
    <w:name w:val="Title"/>
    <w:basedOn w:val="a1"/>
    <w:next w:val="a2"/>
    <w:link w:val="ad"/>
    <w:uiPriority w:val="10"/>
    <w:qFormat/>
    <w:pPr>
      <w:spacing w:after="80"/>
      <w:contextualSpacing/>
      <w:jc w:val="center"/>
    </w:pPr>
    <w:rPr>
      <w:rFonts w:ascii="Arial" w:cs="Arial" w:eastAsia="Arial" w:hAnsi="Arial"/>
      <w:spacing w:val="-10"/>
      <w:kern w:val="28"/>
      <w:sz w:val="56"/>
      <w:szCs w:val="56"/>
    </w:rPr>
  </w:style>
  <w:style w:styleId="ae" w:type="paragraph">
    <w:name w:val="footnote text"/>
    <w:basedOn w:val="a1"/>
    <w:uiPriority w:val="9"/>
    <w:unhideWhenUsed/>
    <w:qFormat/>
  </w:style>
  <w:style w:styleId="af" w:type="character">
    <w:name w:val="Hyperlink"/>
    <w:basedOn w:val="a3"/>
    <w:rsid w:val="00962302"/>
    <w:rPr>
      <w:b w:val="0"/>
      <w:i w:val="0"/>
      <w:color w:themeColor="text1" w:val="000000"/>
      <w:u w:val="none"/>
      <w:bdr w:color="auto" w:space="0" w:sz="0" w:val="none"/>
      <w:em w:val="none"/>
    </w:rPr>
  </w:style>
  <w:style w:customStyle="1" w:styleId="a7" w:type="character">
    <w:name w:val="题注 字符"/>
    <w:basedOn w:val="a3"/>
    <w:link w:val="a6"/>
  </w:style>
  <w:style w:styleId="af0" w:type="character">
    <w:name w:val="footnote reference"/>
    <w:basedOn w:val="a7"/>
    <w:rPr>
      <w:vertAlign w:val="superscript"/>
    </w:rPr>
  </w:style>
  <w:style w:customStyle="1" w:styleId="FirstParagraph" w:type="paragraph">
    <w:name w:val="First Paragraph"/>
    <w:basedOn w:val="a2"/>
    <w:next w:val="a2"/>
    <w:qFormat/>
    <w:rsid w:val="00962302"/>
    <w:pPr>
      <w:spacing w:before="240"/>
    </w:pPr>
  </w:style>
  <w:style w:customStyle="1" w:styleId="Compact" w:type="paragraph">
    <w:name w:val="Compact"/>
    <w:basedOn w:val="a2"/>
    <w:qFormat/>
    <w:pPr>
      <w:spacing w:after="36" w:before="36"/>
    </w:pPr>
  </w:style>
  <w:style w:customStyle="1" w:styleId="ad" w:type="character">
    <w:name w:val="标题 字符"/>
    <w:basedOn w:val="a3"/>
    <w:link w:val="ab"/>
    <w:uiPriority w:val="10"/>
    <w:rPr>
      <w:rFonts w:ascii="Arial" w:cs="Arial" w:eastAsia="Arial" w:hAnsi="Arial"/>
      <w:spacing w:val="-10"/>
      <w:kern w:val="28"/>
      <w:sz w:val="56"/>
      <w:szCs w:val="56"/>
    </w:rPr>
  </w:style>
  <w:style w:customStyle="1" w:styleId="ac" w:type="character">
    <w:name w:val="副标题 字符"/>
    <w:basedOn w:val="a3"/>
    <w:link w:val="aa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2"/>
    <w:qFormat/>
    <w:pPr>
      <w:spacing w:after="200"/>
      <w:jc w:val="center"/>
    </w:pPr>
    <w:rPr>
      <w:sz w:val="24"/>
      <w:szCs w:val="24"/>
      <w:lang w:eastAsia="en-US"/>
    </w:rPr>
  </w:style>
  <w:style w:customStyle="1" w:styleId="AbstractTitle" w:type="paragraph">
    <w:name w:val="Abstract Title"/>
    <w:basedOn w:val="a1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1"/>
    <w:next w:val="a2"/>
    <w:qFormat/>
    <w:pPr>
      <w:spacing w:after="300" w:before="100"/>
    </w:pPr>
    <w:rPr>
      <w:rFonts w:eastAsia="Arial"/>
      <w:sz w:val="20"/>
      <w:szCs w:val="20"/>
    </w:rPr>
  </w:style>
  <w:style w:customStyle="1" w:styleId="11" w:type="paragraph">
    <w:name w:val="书目1"/>
    <w:basedOn w:val="a1"/>
    <w:qFormat/>
  </w:style>
  <w:style w:customStyle="1" w:styleId="10" w:type="character">
    <w:name w:val="标题 1 字符"/>
    <w:basedOn w:val="a3"/>
    <w:link w:val="1"/>
    <w:uiPriority w:val="9"/>
    <w:rsid w:val="00FC1DF5"/>
    <w:rPr>
      <w:rFonts w:ascii="Arial" w:cs="Arial" w:eastAsia="Arial" w:hAnsi="Arial"/>
      <w:b/>
      <w:bCs/>
      <w:color w:themeColor="text1" w:val="000000"/>
      <w:sz w:val="44"/>
      <w:szCs w:val="40"/>
      <w:lang w:eastAsia="en-US"/>
    </w:rPr>
  </w:style>
  <w:style w:customStyle="1" w:styleId="22" w:type="character">
    <w:name w:val="标题 2 字符"/>
    <w:basedOn w:val="a3"/>
    <w:link w:val="21"/>
    <w:uiPriority w:val="9"/>
    <w:semiHidden/>
    <w:rsid w:val="00605308"/>
    <w:rPr>
      <w:rFonts w:ascii="Arial" w:cs="Arial" w:eastAsia="Arial" w:hAnsi="Arial"/>
      <w:b/>
      <w:bCs/>
      <w:color w:themeColor="text1" w:val="000000"/>
      <w:sz w:val="32"/>
      <w:szCs w:val="32"/>
      <w:lang w:eastAsia="en-US"/>
    </w:rPr>
  </w:style>
  <w:style w:customStyle="1" w:styleId="30" w:type="character">
    <w:name w:val="标题 3 字符"/>
    <w:basedOn w:val="a3"/>
    <w:link w:val="3"/>
    <w:uiPriority w:val="9"/>
    <w:semiHidden/>
    <w:rsid w:val="00584C65"/>
    <w:rPr>
      <w:rFonts w:ascii="Arial" w:cs="Arial" w:eastAsia="Arial" w:hAnsi="Arial"/>
      <w:b/>
      <w:bCs/>
      <w:color w:themeColor="text1" w:val="000000"/>
      <w:sz w:val="28"/>
      <w:szCs w:val="28"/>
      <w:lang w:eastAsia="en-US"/>
    </w:rPr>
  </w:style>
  <w:style w:customStyle="1" w:styleId="40" w:type="character">
    <w:name w:val="标题 4 字符"/>
    <w:basedOn w:val="a3"/>
    <w:link w:val="4"/>
    <w:uiPriority w:val="9"/>
    <w:semiHidden/>
    <w:rPr>
      <w:rFonts w:ascii="Arial" w:cs="Arial" w:eastAsia="Arial" w:hAnsi="Arial"/>
      <w:b/>
      <w:color w:themeColor="text1" w:val="000000"/>
      <w:sz w:val="24"/>
      <w:szCs w:val="24"/>
      <w:lang w:eastAsia="en-US"/>
    </w:rPr>
  </w:style>
  <w:style w:customStyle="1" w:styleId="50" w:type="character">
    <w:name w:val="标题 5 字符"/>
    <w:basedOn w:val="a3"/>
    <w:link w:val="5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60" w:type="character">
    <w:name w:val="标题 6 字符"/>
    <w:basedOn w:val="a3"/>
    <w:link w:val="6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70" w:type="character">
    <w:name w:val="标题 7 字符"/>
    <w:basedOn w:val="a3"/>
    <w:link w:val="7"/>
    <w:uiPriority w:val="9"/>
    <w:semiHidden/>
    <w:rsid w:val="00962302"/>
    <w:rPr>
      <w:rFonts w:ascii="微软雅黑" w:cs="微软雅黑" w:eastAsia="Arial" w:hAnsi="微软雅黑"/>
      <w:color w:themeColor="text1" w:val="000000"/>
      <w:sz w:val="24"/>
      <w:szCs w:val="24"/>
      <w:lang w:eastAsia="en-US"/>
    </w:rPr>
  </w:style>
  <w:style w:customStyle="1" w:styleId="80" w:type="character">
    <w:name w:val="标题 8 字符"/>
    <w:basedOn w:val="a3"/>
    <w:link w:val="8"/>
    <w:uiPriority w:val="9"/>
    <w:semiHidden/>
    <w:rsid w:val="00962302"/>
    <w:rPr>
      <w:rFonts w:cstheme="majorBidi" w:eastAsia="Arial"/>
      <w:iCs/>
      <w:color w:themeColor="text1" w:val="000000"/>
      <w:sz w:val="24"/>
      <w:szCs w:val="24"/>
      <w:lang w:eastAsia="en-US"/>
    </w:rPr>
  </w:style>
  <w:style w:customStyle="1" w:styleId="90" w:type="character">
    <w:name w:val="标题 9 字符"/>
    <w:basedOn w:val="a3"/>
    <w:link w:val="9"/>
    <w:uiPriority w:val="9"/>
    <w:semiHidden/>
    <w:rPr>
      <w:rFonts w:cstheme="majorBidi" w:eastAsia="Arial"/>
      <w:color w:themeColor="text1" w:themeTint="D8" w:val="272727"/>
      <w:sz w:val="24"/>
      <w:szCs w:val="24"/>
      <w:lang w:eastAsia="en-US"/>
    </w:rPr>
  </w:style>
  <w:style w:customStyle="1" w:styleId="FootnoteBlockText" w:type="paragraph">
    <w:name w:val="Footnote Block Text"/>
    <w:basedOn w:val="ae"/>
    <w:next w:val="a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1"/>
    <w:next w:val="Definition"/>
    <w:pPr>
      <w:spacing w:after="0"/>
    </w:pPr>
    <w:rPr>
      <w:rFonts w:eastAsia="Arial"/>
    </w:rPr>
  </w:style>
  <w:style w:customStyle="1" w:styleId="Definition" w:type="paragraph">
    <w:name w:val="Definition"/>
    <w:basedOn w:val="a1"/>
    <w:rsid w:val="00962302"/>
    <w:rPr>
      <w:color w:themeColor="text1" w:val="000000"/>
    </w:rPr>
  </w:style>
  <w:style w:customStyle="1" w:styleId="TableCaption" w:type="paragraph">
    <w:name w:val="Table Caption"/>
    <w:basedOn w:val="a6"/>
  </w:style>
  <w:style w:customStyle="1" w:styleId="ImageCaption" w:type="paragraph">
    <w:name w:val="Image Caption"/>
    <w:basedOn w:val="a6"/>
  </w:style>
  <w:style w:customStyle="1" w:styleId="Figure" w:type="paragraph">
    <w:name w:val="Figure"/>
    <w:basedOn w:val="a1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a7"/>
    <w:link w:val="SourceCode"/>
    <w:rsid w:val="00FE2A30"/>
    <w:rPr>
      <w:rFonts w:ascii="Consolas" w:cs="Times New Roman (正文 CS 字体)" w:eastAsia="Arial" w:hAnsi="Consolas"/>
      <w:sz w:val="22"/>
      <w:shd w:color="auto" w:fill="F2F2F2" w:themeFill="background1" w:themeFillShade="F2" w:val="clear"/>
    </w:rPr>
  </w:style>
  <w:style w:customStyle="1" w:styleId="SectionNumber" w:type="character">
    <w:name w:val="Section Number"/>
    <w:basedOn w:val="a7"/>
  </w:style>
  <w:style w:customStyle="1" w:styleId="TOC1" w:type="paragraph">
    <w:name w:val="TOC 标题1"/>
    <w:basedOn w:val="1"/>
    <w:next w:val="a2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SourceCode" w:type="paragraph">
    <w:name w:val="Source Code"/>
    <w:link w:val="VerbatimChar"/>
    <w:rsid w:val="00FE2A30"/>
    <w:pPr>
      <w:shd w:color="auto" w:fill="F2F2F2" w:themeFill="background1" w:themeFillShade="F2" w:val="clear"/>
      <w:wordWrap w:val="0"/>
      <w:spacing w:after="100" w:afterLines="100" w:before="100" w:beforeLines="100"/>
    </w:pPr>
    <w:rPr>
      <w:rFonts w:ascii="Consolas" w:cs="Times New Roman (正文 CS 字体)" w:eastAsia="Arial" w:hAnsi="Consolas"/>
      <w:sz w:val="22"/>
    </w:rPr>
  </w:style>
  <w:style w:styleId="af1" w:type="character">
    <w:name w:val="FollowedHyperlink"/>
    <w:basedOn w:val="a3"/>
    <w:rsid w:val="0011788E"/>
    <w:rPr>
      <w:color w:themeColor="followedHyperlink" w:val="96607D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2026-02-23T08:18:31Z</dcterms:created>
  <dcterms:modified xsi:type="dcterms:W3CDTF">2026-02-23T08:18:31Z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