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063D445C" w:rsidR="6A36C4BF" w:rsidRPr="00B863FB" w:rsidRDefault="00276061" w:rsidP="00B863FB">
      <w:pPr>
        <w:pStyle w:val="Title"/>
      </w:pPr>
      <w:r>
        <w:t>Assignment</w:t>
      </w:r>
      <w:r w:rsidR="000250FB">
        <w:t xml:space="preserve"> Three</w:t>
      </w:r>
      <w:r>
        <w:t xml:space="preserve">: </w:t>
      </w:r>
      <w:r w:rsidR="000250FB">
        <w:t>LTE</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2045AE12"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w:t>
      </w:r>
      <w:r w:rsidR="00531FD3">
        <w:t>72</w:t>
      </w:r>
    </w:p>
    <w:p w14:paraId="76A91852" w14:textId="438BFB42" w:rsidR="002C79E6" w:rsidRDefault="00276061" w:rsidP="002C79E6">
      <w:pPr>
        <w:pStyle w:val="Subtitle"/>
      </w:pPr>
      <w:r>
        <w:t xml:space="preserve">Professor </w:t>
      </w:r>
      <w:r w:rsidR="00A424C7">
        <w:t>Derek Jackson</w:t>
      </w:r>
    </w:p>
    <w:p w14:paraId="5016ED63" w14:textId="34CAE7E8" w:rsidR="201D26C8" w:rsidRDefault="00793D9E" w:rsidP="002C79E6">
      <w:pPr>
        <w:pStyle w:val="Subtitle"/>
      </w:pPr>
      <w:r>
        <w:t>9/3</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F92D7B9" w14:textId="06524B40" w:rsidR="00185588" w:rsidRDefault="00185588" w:rsidP="00793D9E">
      <w:pPr>
        <w:ind w:firstLine="0"/>
        <w:rPr>
          <w:rFonts w:ascii="Calibri" w:eastAsia="Calibri" w:hAnsi="Calibri" w:cs="Calibri"/>
          <w:szCs w:val="22"/>
        </w:rPr>
      </w:pPr>
    </w:p>
    <w:p w14:paraId="6EAF50F0" w14:textId="77777777" w:rsidR="00793D9E" w:rsidRDefault="00793D9E" w:rsidP="00793D9E">
      <w:pPr>
        <w:ind w:firstLine="0"/>
        <w:rPr>
          <w:rFonts w:ascii="Calibri" w:eastAsia="Calibri" w:hAnsi="Calibri" w:cs="Calibri"/>
          <w:szCs w:val="22"/>
        </w:rPr>
      </w:pPr>
    </w:p>
    <w:p w14:paraId="43E114B2" w14:textId="77777777" w:rsidR="00793D9E" w:rsidRDefault="00793D9E" w:rsidP="00793D9E">
      <w:pPr>
        <w:ind w:firstLine="0"/>
        <w:rPr>
          <w:rFonts w:ascii="Calibri" w:eastAsia="Calibri" w:hAnsi="Calibri" w:cs="Calibri"/>
          <w:szCs w:val="22"/>
        </w:rPr>
      </w:pPr>
    </w:p>
    <w:p w14:paraId="3B329925" w14:textId="77777777" w:rsidR="00793D9E" w:rsidRDefault="00793D9E" w:rsidP="00793D9E">
      <w:pPr>
        <w:ind w:firstLine="0"/>
        <w:rPr>
          <w:rFonts w:ascii="Calibri" w:eastAsia="Calibri" w:hAnsi="Calibri" w:cs="Calibri"/>
          <w:szCs w:val="22"/>
        </w:rPr>
      </w:pPr>
    </w:p>
    <w:p w14:paraId="29A14040" w14:textId="77777777" w:rsidR="00793D9E" w:rsidRDefault="00793D9E" w:rsidP="00793D9E">
      <w:pPr>
        <w:ind w:firstLine="0"/>
        <w:rPr>
          <w:rFonts w:ascii="Calibri" w:eastAsia="Calibri" w:hAnsi="Calibri" w:cs="Calibri"/>
          <w:szCs w:val="22"/>
        </w:rPr>
      </w:pPr>
    </w:p>
    <w:p w14:paraId="0EC05007" w14:textId="195E83B0" w:rsidR="00CF1D22" w:rsidRPr="00CF1D22" w:rsidRDefault="00CF1D22" w:rsidP="00CF1D22">
      <w:pPr>
        <w:ind w:left="360" w:firstLine="0"/>
        <w:rPr>
          <w:rFonts w:ascii="Calibri" w:eastAsia="Calibri" w:hAnsi="Calibri" w:cs="Calibri"/>
          <w:szCs w:val="22"/>
        </w:rPr>
      </w:pPr>
      <w:r w:rsidRPr="00CF1D22">
        <w:rPr>
          <w:rFonts w:ascii="Calibri" w:eastAsia="Calibri" w:hAnsi="Calibri" w:cs="Calibri"/>
          <w:b/>
          <w:bCs/>
          <w:szCs w:val="22"/>
        </w:rPr>
        <w:lastRenderedPageBreak/>
        <w:t>How can the LTE core network be interconnected with legacy core networks?</w:t>
      </w:r>
    </w:p>
    <w:p w14:paraId="02CACDED" w14:textId="3B1AF8EB"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The LTE core network, known as the Evolved Packet Core (EPC), can connect with legacy networks such as GSM and UMTS through standardized interfaces like S3, S4, and S5/S8. These interfaces enable LTE to support seamless handovers and data continuity between modern and older networks, maintaining consistent service for users </w:t>
      </w:r>
      <w:sdt>
        <w:sdtPr>
          <w:rPr>
            <w:rFonts w:ascii="Calibri" w:eastAsia="Calibri" w:hAnsi="Calibri" w:cs="Calibri"/>
            <w:szCs w:val="22"/>
          </w:rPr>
          <w:id w:val="1045719400"/>
          <w:citation/>
        </w:sdtPr>
        <w:sdtContent>
          <w:r w:rsidR="004A14E9">
            <w:rPr>
              <w:rFonts w:ascii="Calibri" w:eastAsia="Calibri" w:hAnsi="Calibri" w:cs="Calibri"/>
              <w:szCs w:val="22"/>
            </w:rPr>
            <w:fldChar w:fldCharType="begin"/>
          </w:r>
          <w:r w:rsidR="009C3C31">
            <w:rPr>
              <w:rFonts w:ascii="Calibri" w:eastAsia="Calibri" w:hAnsi="Calibri" w:cs="Calibri"/>
              <w:szCs w:val="22"/>
            </w:rPr>
            <w:instrText xml:space="preserve">CITATION Mar21 \p 287 \l 1033 </w:instrText>
          </w:r>
          <w:r w:rsidR="004A14E9">
            <w:rPr>
              <w:rFonts w:ascii="Calibri" w:eastAsia="Calibri" w:hAnsi="Calibri" w:cs="Calibri"/>
              <w:szCs w:val="22"/>
            </w:rPr>
            <w:fldChar w:fldCharType="separate"/>
          </w:r>
          <w:r w:rsidR="009C3C31" w:rsidRPr="009C3C31">
            <w:rPr>
              <w:rFonts w:ascii="Calibri" w:eastAsia="Calibri" w:hAnsi="Calibri" w:cs="Calibri"/>
              <w:noProof/>
              <w:szCs w:val="22"/>
            </w:rPr>
            <w:t>(From GSM to LTE-Advanced Pro and 5G, 2021, p. 287)</w:t>
          </w:r>
          <w:r w:rsidR="004A14E9">
            <w:rPr>
              <w:rFonts w:ascii="Calibri" w:eastAsia="Calibri" w:hAnsi="Calibri" w:cs="Calibri"/>
              <w:szCs w:val="22"/>
            </w:rPr>
            <w:fldChar w:fldCharType="end"/>
          </w:r>
        </w:sdtContent>
      </w:sdt>
      <w:r w:rsidRPr="00CF1D22">
        <w:rPr>
          <w:rFonts w:ascii="Calibri" w:eastAsia="Calibri" w:hAnsi="Calibri" w:cs="Calibri"/>
          <w:szCs w:val="22"/>
        </w:rPr>
        <w:t>.</w:t>
      </w:r>
    </w:p>
    <w:p w14:paraId="394AA51C" w14:textId="77777777" w:rsidR="00CF1D22" w:rsidRPr="00CF1D22" w:rsidRDefault="00CF1D22" w:rsidP="00CF1D22">
      <w:pPr>
        <w:ind w:left="360" w:firstLine="0"/>
        <w:rPr>
          <w:rFonts w:ascii="Calibri" w:eastAsia="Calibri" w:hAnsi="Calibri" w:cs="Calibri"/>
          <w:szCs w:val="22"/>
        </w:rPr>
      </w:pPr>
    </w:p>
    <w:p w14:paraId="7FACFCDC" w14:textId="1AB249CB"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Why should this be done?</w:t>
      </w:r>
    </w:p>
    <w:p w14:paraId="2A6D8506" w14:textId="2432B9BF"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Connecting LTE with legacy networks ensures backward compatibility, allowing devices to maintain connections when moving between LTE and older systems. This approach maximizes network coverage and service availability, especially in areas with mixed technology deployment </w:t>
      </w:r>
      <w:sdt>
        <w:sdtPr>
          <w:rPr>
            <w:rFonts w:ascii="Calibri" w:eastAsia="Calibri" w:hAnsi="Calibri" w:cs="Calibri"/>
            <w:szCs w:val="22"/>
          </w:rPr>
          <w:id w:val="209231413"/>
          <w:citation/>
        </w:sdtPr>
        <w:sdtContent>
          <w:r w:rsidR="00300F70">
            <w:rPr>
              <w:rFonts w:ascii="Calibri" w:eastAsia="Calibri" w:hAnsi="Calibri" w:cs="Calibri"/>
              <w:szCs w:val="22"/>
            </w:rPr>
            <w:fldChar w:fldCharType="begin"/>
          </w:r>
          <w:r w:rsidR="00300F70">
            <w:rPr>
              <w:rFonts w:ascii="Calibri" w:eastAsia="Calibri" w:hAnsi="Calibri" w:cs="Calibri"/>
              <w:szCs w:val="22"/>
            </w:rPr>
            <w:instrText xml:space="preserve">CITATION Mar21 \p 287 \l 1033 </w:instrText>
          </w:r>
          <w:r w:rsidR="00300F70">
            <w:rPr>
              <w:rFonts w:ascii="Calibri" w:eastAsia="Calibri" w:hAnsi="Calibri" w:cs="Calibri"/>
              <w:szCs w:val="22"/>
            </w:rPr>
            <w:fldChar w:fldCharType="separate"/>
          </w:r>
          <w:r w:rsidR="00300F70" w:rsidRPr="00300F70">
            <w:rPr>
              <w:rFonts w:ascii="Calibri" w:eastAsia="Calibri" w:hAnsi="Calibri" w:cs="Calibri"/>
              <w:noProof/>
              <w:szCs w:val="22"/>
            </w:rPr>
            <w:t>(From GSM to LTE-Advanced Pro and 5G, 2021, p. 287)</w:t>
          </w:r>
          <w:r w:rsidR="00300F70">
            <w:rPr>
              <w:rFonts w:ascii="Calibri" w:eastAsia="Calibri" w:hAnsi="Calibri" w:cs="Calibri"/>
              <w:szCs w:val="22"/>
            </w:rPr>
            <w:fldChar w:fldCharType="end"/>
          </w:r>
        </w:sdtContent>
      </w:sdt>
      <w:r w:rsidRPr="00CF1D22">
        <w:rPr>
          <w:rFonts w:ascii="Calibri" w:eastAsia="Calibri" w:hAnsi="Calibri" w:cs="Calibri"/>
          <w:szCs w:val="22"/>
        </w:rPr>
        <w:t>.</w:t>
      </w:r>
    </w:p>
    <w:p w14:paraId="46950FD2" w14:textId="77777777" w:rsidR="00CF1D22" w:rsidRPr="00CF1D22" w:rsidRDefault="00CF1D22" w:rsidP="00CF1D22">
      <w:pPr>
        <w:ind w:left="360" w:firstLine="0"/>
        <w:rPr>
          <w:rFonts w:ascii="Calibri" w:eastAsia="Calibri" w:hAnsi="Calibri" w:cs="Calibri"/>
          <w:szCs w:val="22"/>
        </w:rPr>
      </w:pPr>
    </w:p>
    <w:p w14:paraId="5F8CC08E"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 xml:space="preserve">Describe different options for the backhaul connection of the </w:t>
      </w:r>
      <w:proofErr w:type="spellStart"/>
      <w:r w:rsidRPr="00CF1D22">
        <w:rPr>
          <w:rFonts w:ascii="Calibri" w:eastAsia="Calibri" w:hAnsi="Calibri" w:cs="Calibri"/>
          <w:b/>
          <w:bCs/>
          <w:szCs w:val="22"/>
        </w:rPr>
        <w:t>eNB</w:t>
      </w:r>
      <w:proofErr w:type="spellEnd"/>
      <w:r w:rsidRPr="00CF1D22">
        <w:rPr>
          <w:rFonts w:ascii="Calibri" w:eastAsia="Calibri" w:hAnsi="Calibri" w:cs="Calibri"/>
          <w:b/>
          <w:bCs/>
          <w:szCs w:val="22"/>
        </w:rPr>
        <w:t>.</w:t>
      </w:r>
    </w:p>
    <w:p w14:paraId="35C3FC8D" w14:textId="226017C4"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Backhaul connections for </w:t>
      </w:r>
      <w:proofErr w:type="spellStart"/>
      <w:r w:rsidRPr="00CF1D22">
        <w:rPr>
          <w:rFonts w:ascii="Calibri" w:eastAsia="Calibri" w:hAnsi="Calibri" w:cs="Calibri"/>
          <w:szCs w:val="22"/>
        </w:rPr>
        <w:t>eNodeB</w:t>
      </w:r>
      <w:proofErr w:type="spellEnd"/>
      <w:r w:rsidRPr="00CF1D22">
        <w:rPr>
          <w:rFonts w:ascii="Calibri" w:eastAsia="Calibri" w:hAnsi="Calibri" w:cs="Calibri"/>
          <w:szCs w:val="22"/>
        </w:rPr>
        <w:t xml:space="preserve"> (</w:t>
      </w:r>
      <w:proofErr w:type="spellStart"/>
      <w:r w:rsidRPr="00CF1D22">
        <w:rPr>
          <w:rFonts w:ascii="Calibri" w:eastAsia="Calibri" w:hAnsi="Calibri" w:cs="Calibri"/>
          <w:szCs w:val="22"/>
        </w:rPr>
        <w:t>eNB</w:t>
      </w:r>
      <w:proofErr w:type="spellEnd"/>
      <w:r w:rsidRPr="00CF1D22">
        <w:rPr>
          <w:rFonts w:ascii="Calibri" w:eastAsia="Calibri" w:hAnsi="Calibri" w:cs="Calibri"/>
          <w:szCs w:val="22"/>
        </w:rPr>
        <w:t xml:space="preserve">) can include fiber optics, microwave links, and Ethernet. Fiber optics provide high capacity and low latency but are expensive to deploy. Microwave links offer flexibility and ease of installation but can be impacted by environmental factors. Ethernet is a cost-effective option but may require dedicated lines for higher capacities </w:t>
      </w:r>
      <w:sdt>
        <w:sdtPr>
          <w:rPr>
            <w:rFonts w:ascii="Calibri" w:eastAsia="Calibri" w:hAnsi="Calibri" w:cs="Calibri"/>
            <w:szCs w:val="22"/>
          </w:rPr>
          <w:id w:val="-482538472"/>
          <w:citation/>
        </w:sdtPr>
        <w:sdtContent>
          <w:r w:rsidR="0041015C">
            <w:rPr>
              <w:rFonts w:ascii="Calibri" w:eastAsia="Calibri" w:hAnsi="Calibri" w:cs="Calibri"/>
              <w:szCs w:val="22"/>
            </w:rPr>
            <w:fldChar w:fldCharType="begin"/>
          </w:r>
          <w:r w:rsidR="0041015C">
            <w:rPr>
              <w:rFonts w:ascii="Calibri" w:eastAsia="Calibri" w:hAnsi="Calibri" w:cs="Calibri"/>
              <w:szCs w:val="22"/>
            </w:rPr>
            <w:instrText xml:space="preserve">CITATION Mar21 \p 289-290 \l 1033 </w:instrText>
          </w:r>
          <w:r w:rsidR="0041015C">
            <w:rPr>
              <w:rFonts w:ascii="Calibri" w:eastAsia="Calibri" w:hAnsi="Calibri" w:cs="Calibri"/>
              <w:szCs w:val="22"/>
            </w:rPr>
            <w:fldChar w:fldCharType="separate"/>
          </w:r>
          <w:r w:rsidR="0041015C" w:rsidRPr="0041015C">
            <w:rPr>
              <w:rFonts w:ascii="Calibri" w:eastAsia="Calibri" w:hAnsi="Calibri" w:cs="Calibri"/>
              <w:noProof/>
              <w:szCs w:val="22"/>
            </w:rPr>
            <w:t>(From GSM to LTE-Advanced Pro and 5G, 2021, pp. 289-290)</w:t>
          </w:r>
          <w:r w:rsidR="0041015C">
            <w:rPr>
              <w:rFonts w:ascii="Calibri" w:eastAsia="Calibri" w:hAnsi="Calibri" w:cs="Calibri"/>
              <w:szCs w:val="22"/>
            </w:rPr>
            <w:fldChar w:fldCharType="end"/>
          </w:r>
        </w:sdtContent>
      </w:sdt>
      <w:r w:rsidRPr="00CF1D22">
        <w:rPr>
          <w:rFonts w:ascii="Calibri" w:eastAsia="Calibri" w:hAnsi="Calibri" w:cs="Calibri"/>
          <w:szCs w:val="22"/>
        </w:rPr>
        <w:t>.</w:t>
      </w:r>
    </w:p>
    <w:p w14:paraId="3ABC7574" w14:textId="77777777" w:rsidR="00CF1D22" w:rsidRPr="00CF1D22" w:rsidRDefault="00CF1D22" w:rsidP="00CF1D22">
      <w:pPr>
        <w:ind w:left="360" w:firstLine="0"/>
        <w:rPr>
          <w:rFonts w:ascii="Calibri" w:eastAsia="Calibri" w:hAnsi="Calibri" w:cs="Calibri"/>
          <w:szCs w:val="22"/>
        </w:rPr>
      </w:pPr>
    </w:p>
    <w:p w14:paraId="6AF2C0E0"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Describe the differences between the tasks for the MME and the tasks of the S-GW.</w:t>
      </w:r>
    </w:p>
    <w:p w14:paraId="7DDE3421" w14:textId="3E519DD1"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The Mobility Management Entity (MME) is responsible for handling signaling, authentication, and mobility management tasks such as tracking users in idle mode. The Serving Gateway (S-GW) </w:t>
      </w:r>
      <w:r w:rsidRPr="00CF1D22">
        <w:rPr>
          <w:rFonts w:ascii="Calibri" w:eastAsia="Calibri" w:hAnsi="Calibri" w:cs="Calibri"/>
          <w:szCs w:val="22"/>
        </w:rPr>
        <w:lastRenderedPageBreak/>
        <w:t xml:space="preserve">focuses on routing and forwarding user data packets and acts as a local anchor for mobility within LTE, especially during handovers </w:t>
      </w:r>
      <w:sdt>
        <w:sdtPr>
          <w:rPr>
            <w:rFonts w:ascii="Calibri" w:eastAsia="Calibri" w:hAnsi="Calibri" w:cs="Calibri"/>
            <w:szCs w:val="22"/>
          </w:rPr>
          <w:id w:val="-691763099"/>
          <w:citation/>
        </w:sdtPr>
        <w:sdtContent>
          <w:r w:rsidR="00B203C8">
            <w:rPr>
              <w:rFonts w:ascii="Calibri" w:eastAsia="Calibri" w:hAnsi="Calibri" w:cs="Calibri"/>
              <w:szCs w:val="22"/>
            </w:rPr>
            <w:fldChar w:fldCharType="begin"/>
          </w:r>
          <w:r w:rsidR="00B203C8">
            <w:rPr>
              <w:rFonts w:ascii="Calibri" w:eastAsia="Calibri" w:hAnsi="Calibri" w:cs="Calibri"/>
              <w:szCs w:val="22"/>
            </w:rPr>
            <w:instrText xml:space="preserve">CITATION Mar21 \p 304 \l 1033 </w:instrText>
          </w:r>
          <w:r w:rsidR="00B203C8">
            <w:rPr>
              <w:rFonts w:ascii="Calibri" w:eastAsia="Calibri" w:hAnsi="Calibri" w:cs="Calibri"/>
              <w:szCs w:val="22"/>
            </w:rPr>
            <w:fldChar w:fldCharType="separate"/>
          </w:r>
          <w:r w:rsidR="00B203C8" w:rsidRPr="00B203C8">
            <w:rPr>
              <w:rFonts w:ascii="Calibri" w:eastAsia="Calibri" w:hAnsi="Calibri" w:cs="Calibri"/>
              <w:noProof/>
              <w:szCs w:val="22"/>
            </w:rPr>
            <w:t>(From GSM to LTE-Advanced Pro and 5G, 2021, p. 304)</w:t>
          </w:r>
          <w:r w:rsidR="00B203C8">
            <w:rPr>
              <w:rFonts w:ascii="Calibri" w:eastAsia="Calibri" w:hAnsi="Calibri" w:cs="Calibri"/>
              <w:szCs w:val="22"/>
            </w:rPr>
            <w:fldChar w:fldCharType="end"/>
          </w:r>
        </w:sdtContent>
      </w:sdt>
      <w:r w:rsidRPr="00CF1D22">
        <w:rPr>
          <w:rFonts w:ascii="Calibri" w:eastAsia="Calibri" w:hAnsi="Calibri" w:cs="Calibri"/>
          <w:szCs w:val="22"/>
        </w:rPr>
        <w:t>.</w:t>
      </w:r>
    </w:p>
    <w:p w14:paraId="5082BF69" w14:textId="77777777" w:rsidR="00CF1D22" w:rsidRPr="00CF1D22" w:rsidRDefault="00CF1D22" w:rsidP="00CF1D22">
      <w:pPr>
        <w:ind w:left="360" w:firstLine="0"/>
        <w:rPr>
          <w:rFonts w:ascii="Calibri" w:eastAsia="Calibri" w:hAnsi="Calibri" w:cs="Calibri"/>
          <w:szCs w:val="22"/>
        </w:rPr>
      </w:pPr>
    </w:p>
    <w:p w14:paraId="42F60EDD"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How does a mobile device get access to the PUSCH?</w:t>
      </w:r>
    </w:p>
    <w:p w14:paraId="74A50774" w14:textId="4F4ED11A"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A mobile device accesses the Physical Uplink Shared Channel (PUSCH) after receiving an uplink grant from the </w:t>
      </w:r>
      <w:proofErr w:type="spellStart"/>
      <w:r w:rsidRPr="00CF1D22">
        <w:rPr>
          <w:rFonts w:ascii="Calibri" w:eastAsia="Calibri" w:hAnsi="Calibri" w:cs="Calibri"/>
          <w:szCs w:val="22"/>
        </w:rPr>
        <w:t>eNodeB</w:t>
      </w:r>
      <w:proofErr w:type="spellEnd"/>
      <w:r w:rsidRPr="00CF1D22">
        <w:rPr>
          <w:rFonts w:ascii="Calibri" w:eastAsia="Calibri" w:hAnsi="Calibri" w:cs="Calibri"/>
          <w:szCs w:val="22"/>
        </w:rPr>
        <w:t xml:space="preserve">. This grant specifies the </w:t>
      </w:r>
      <w:proofErr w:type="gramStart"/>
      <w:r w:rsidRPr="00CF1D22">
        <w:rPr>
          <w:rFonts w:ascii="Calibri" w:eastAsia="Calibri" w:hAnsi="Calibri" w:cs="Calibri"/>
          <w:szCs w:val="22"/>
        </w:rPr>
        <w:t>frequency</w:t>
      </w:r>
      <w:proofErr w:type="gramEnd"/>
      <w:r w:rsidRPr="00CF1D22">
        <w:rPr>
          <w:rFonts w:ascii="Calibri" w:eastAsia="Calibri" w:hAnsi="Calibri" w:cs="Calibri"/>
          <w:szCs w:val="22"/>
        </w:rPr>
        <w:t xml:space="preserve"> and time slots the device can use, allowing it to transmit data efficiently within the network </w:t>
      </w:r>
      <w:sdt>
        <w:sdtPr>
          <w:rPr>
            <w:rFonts w:ascii="Calibri" w:eastAsia="Calibri" w:hAnsi="Calibri" w:cs="Calibri"/>
            <w:szCs w:val="22"/>
          </w:rPr>
          <w:id w:val="-1696689563"/>
          <w:citation/>
        </w:sdtPr>
        <w:sdtContent>
          <w:r w:rsidR="00CF3C23">
            <w:rPr>
              <w:rFonts w:ascii="Calibri" w:eastAsia="Calibri" w:hAnsi="Calibri" w:cs="Calibri"/>
              <w:szCs w:val="22"/>
            </w:rPr>
            <w:fldChar w:fldCharType="begin"/>
          </w:r>
          <w:r w:rsidR="00CF3C23">
            <w:rPr>
              <w:rFonts w:ascii="Calibri" w:eastAsia="Calibri" w:hAnsi="Calibri" w:cs="Calibri"/>
              <w:szCs w:val="22"/>
            </w:rPr>
            <w:instrText xml:space="preserve">CITATION Mar21 \p 230-231 \l 1033 </w:instrText>
          </w:r>
          <w:r w:rsidR="00CF3C23">
            <w:rPr>
              <w:rFonts w:ascii="Calibri" w:eastAsia="Calibri" w:hAnsi="Calibri" w:cs="Calibri"/>
              <w:szCs w:val="22"/>
            </w:rPr>
            <w:fldChar w:fldCharType="separate"/>
          </w:r>
          <w:r w:rsidR="00CF3C23" w:rsidRPr="00CF3C23">
            <w:rPr>
              <w:rFonts w:ascii="Calibri" w:eastAsia="Calibri" w:hAnsi="Calibri" w:cs="Calibri"/>
              <w:noProof/>
              <w:szCs w:val="22"/>
            </w:rPr>
            <w:t>(From GSM to LTE-Advanced Pro and 5G, 2021, pp. 230-231)</w:t>
          </w:r>
          <w:r w:rsidR="00CF3C23">
            <w:rPr>
              <w:rFonts w:ascii="Calibri" w:eastAsia="Calibri" w:hAnsi="Calibri" w:cs="Calibri"/>
              <w:szCs w:val="22"/>
            </w:rPr>
            <w:fldChar w:fldCharType="end"/>
          </w:r>
        </w:sdtContent>
      </w:sdt>
      <w:r w:rsidRPr="00CF1D22">
        <w:rPr>
          <w:rFonts w:ascii="Calibri" w:eastAsia="Calibri" w:hAnsi="Calibri" w:cs="Calibri"/>
          <w:szCs w:val="22"/>
        </w:rPr>
        <w:t>.</w:t>
      </w:r>
    </w:p>
    <w:p w14:paraId="7A1BDECE" w14:textId="77777777" w:rsidR="00CF1D22" w:rsidRPr="00CF1D22" w:rsidRDefault="00CF1D22" w:rsidP="00CF1D22">
      <w:pPr>
        <w:ind w:left="360" w:firstLine="0"/>
        <w:rPr>
          <w:rFonts w:ascii="Calibri" w:eastAsia="Calibri" w:hAnsi="Calibri" w:cs="Calibri"/>
          <w:szCs w:val="22"/>
        </w:rPr>
      </w:pPr>
    </w:p>
    <w:p w14:paraId="1A3F73CF"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How is mobility controlled in RRC idle state?</w:t>
      </w:r>
    </w:p>
    <w:p w14:paraId="0F4A8021" w14:textId="519B415B"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In the RRC idle state, mobility is controlled through cell reselection, which allows the device to autonomously switch to cells with stronger signals or better service quality. This process helps the device maintain optimal connectivity without network assistance </w:t>
      </w:r>
      <w:sdt>
        <w:sdtPr>
          <w:rPr>
            <w:rFonts w:ascii="Calibri" w:eastAsia="Calibri" w:hAnsi="Calibri" w:cs="Calibri"/>
            <w:szCs w:val="22"/>
          </w:rPr>
          <w:id w:val="300268703"/>
          <w:citation/>
        </w:sdtPr>
        <w:sdtContent>
          <w:r w:rsidR="00706C4C">
            <w:rPr>
              <w:rFonts w:ascii="Calibri" w:eastAsia="Calibri" w:hAnsi="Calibri" w:cs="Calibri"/>
              <w:szCs w:val="22"/>
            </w:rPr>
            <w:fldChar w:fldCharType="begin"/>
          </w:r>
          <w:r w:rsidR="00706C4C">
            <w:rPr>
              <w:rFonts w:ascii="Calibri" w:eastAsia="Calibri" w:hAnsi="Calibri" w:cs="Calibri"/>
              <w:szCs w:val="22"/>
            </w:rPr>
            <w:instrText xml:space="preserve">CITATION Mar21 \p 263-265 \l 1033 </w:instrText>
          </w:r>
          <w:r w:rsidR="00706C4C">
            <w:rPr>
              <w:rFonts w:ascii="Calibri" w:eastAsia="Calibri" w:hAnsi="Calibri" w:cs="Calibri"/>
              <w:szCs w:val="22"/>
            </w:rPr>
            <w:fldChar w:fldCharType="separate"/>
          </w:r>
          <w:r w:rsidR="00706C4C" w:rsidRPr="00706C4C">
            <w:rPr>
              <w:rFonts w:ascii="Calibri" w:eastAsia="Calibri" w:hAnsi="Calibri" w:cs="Calibri"/>
              <w:noProof/>
              <w:szCs w:val="22"/>
            </w:rPr>
            <w:t>(From GSM to LTE-Advanced Pro and 5G, 2021, pp. 263-265)</w:t>
          </w:r>
          <w:r w:rsidR="00706C4C">
            <w:rPr>
              <w:rFonts w:ascii="Calibri" w:eastAsia="Calibri" w:hAnsi="Calibri" w:cs="Calibri"/>
              <w:szCs w:val="22"/>
            </w:rPr>
            <w:fldChar w:fldCharType="end"/>
          </w:r>
        </w:sdtContent>
      </w:sdt>
      <w:r w:rsidRPr="00CF1D22">
        <w:rPr>
          <w:rFonts w:ascii="Calibri" w:eastAsia="Calibri" w:hAnsi="Calibri" w:cs="Calibri"/>
          <w:szCs w:val="22"/>
        </w:rPr>
        <w:t>.</w:t>
      </w:r>
    </w:p>
    <w:p w14:paraId="382220BF" w14:textId="77777777" w:rsidR="00CF1D22" w:rsidRPr="00CF1D22" w:rsidRDefault="00CF1D22" w:rsidP="00CF1D22">
      <w:pPr>
        <w:ind w:left="360" w:firstLine="0"/>
        <w:rPr>
          <w:rFonts w:ascii="Calibri" w:eastAsia="Calibri" w:hAnsi="Calibri" w:cs="Calibri"/>
          <w:szCs w:val="22"/>
        </w:rPr>
      </w:pPr>
    </w:p>
    <w:p w14:paraId="104F000E"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How many subcarriers are used for a 10MHz FDD-LTE channel?</w:t>
      </w:r>
    </w:p>
    <w:p w14:paraId="41C1C332" w14:textId="53D24A63" w:rsidR="00CF1D22" w:rsidRPr="00CF1D22" w:rsidRDefault="00CF1D22" w:rsidP="00CF1D22">
      <w:pPr>
        <w:ind w:left="360" w:firstLine="360"/>
        <w:rPr>
          <w:rFonts w:ascii="Calibri" w:eastAsia="Calibri" w:hAnsi="Calibri" w:cs="Calibri"/>
          <w:szCs w:val="22"/>
        </w:rPr>
      </w:pPr>
      <w:r w:rsidRPr="00CF1D22">
        <w:rPr>
          <w:rFonts w:ascii="Calibri" w:eastAsia="Calibri" w:hAnsi="Calibri" w:cs="Calibri"/>
          <w:szCs w:val="22"/>
        </w:rPr>
        <w:t xml:space="preserve">A 10 MHz FDD-LTE channel utilizes 600 subcarriers, each spaced 15 kHz apart, supporting high data rates and efficient frequency usage </w:t>
      </w:r>
      <w:sdt>
        <w:sdtPr>
          <w:rPr>
            <w:rFonts w:ascii="Calibri" w:eastAsia="Calibri" w:hAnsi="Calibri" w:cs="Calibri"/>
            <w:szCs w:val="22"/>
          </w:rPr>
          <w:id w:val="-558475915"/>
          <w:citation/>
        </w:sdtPr>
        <w:sdtContent>
          <w:r w:rsidR="00FB468B">
            <w:rPr>
              <w:rFonts w:ascii="Calibri" w:eastAsia="Calibri" w:hAnsi="Calibri" w:cs="Calibri"/>
              <w:szCs w:val="22"/>
            </w:rPr>
            <w:fldChar w:fldCharType="begin"/>
          </w:r>
          <w:r w:rsidR="00FB468B">
            <w:rPr>
              <w:rFonts w:ascii="Calibri" w:eastAsia="Calibri" w:hAnsi="Calibri" w:cs="Calibri"/>
              <w:szCs w:val="22"/>
            </w:rPr>
            <w:instrText xml:space="preserve">CITATION Mar21 \p 226 \l 1033 </w:instrText>
          </w:r>
          <w:r w:rsidR="00FB468B">
            <w:rPr>
              <w:rFonts w:ascii="Calibri" w:eastAsia="Calibri" w:hAnsi="Calibri" w:cs="Calibri"/>
              <w:szCs w:val="22"/>
            </w:rPr>
            <w:fldChar w:fldCharType="separate"/>
          </w:r>
          <w:r w:rsidR="00FB468B" w:rsidRPr="00FB468B">
            <w:rPr>
              <w:rFonts w:ascii="Calibri" w:eastAsia="Calibri" w:hAnsi="Calibri" w:cs="Calibri"/>
              <w:noProof/>
              <w:szCs w:val="22"/>
            </w:rPr>
            <w:t>(From GSM to LTE-Advanced Pro and 5G, 2021, p. 226)</w:t>
          </w:r>
          <w:r w:rsidR="00FB468B">
            <w:rPr>
              <w:rFonts w:ascii="Calibri" w:eastAsia="Calibri" w:hAnsi="Calibri" w:cs="Calibri"/>
              <w:szCs w:val="22"/>
            </w:rPr>
            <w:fldChar w:fldCharType="end"/>
          </w:r>
        </w:sdtContent>
      </w:sdt>
    </w:p>
    <w:p w14:paraId="416A3226" w14:textId="77777777" w:rsidR="00CF1D22" w:rsidRPr="00CF1D22" w:rsidRDefault="00CF1D22" w:rsidP="00CF1D22">
      <w:pPr>
        <w:ind w:left="360" w:firstLine="0"/>
        <w:rPr>
          <w:rFonts w:ascii="Calibri" w:eastAsia="Calibri" w:hAnsi="Calibri" w:cs="Calibri"/>
          <w:szCs w:val="22"/>
        </w:rPr>
      </w:pPr>
    </w:p>
    <w:p w14:paraId="2212C59B"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are the differences between ARQ and HARQ?</w:t>
      </w:r>
    </w:p>
    <w:p w14:paraId="45339111" w14:textId="1189501D"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Automatic Repeat Request (ARQ) requests retransmission of faulty packets to correct errors, whereas Hybrid Automatic Repeat Request (HARQ) combines error correction and retransmission, allowing partial error correction with fewer retransmissions, thus enhancing data throughput </w:t>
      </w:r>
      <w:sdt>
        <w:sdtPr>
          <w:rPr>
            <w:rFonts w:ascii="Calibri" w:eastAsia="Calibri" w:hAnsi="Calibri" w:cs="Calibri"/>
            <w:szCs w:val="22"/>
          </w:rPr>
          <w:id w:val="2093968497"/>
          <w:citation/>
        </w:sdtPr>
        <w:sdtContent>
          <w:r w:rsidR="00000933">
            <w:rPr>
              <w:rFonts w:ascii="Calibri" w:eastAsia="Calibri" w:hAnsi="Calibri" w:cs="Calibri"/>
              <w:szCs w:val="22"/>
            </w:rPr>
            <w:fldChar w:fldCharType="begin"/>
          </w:r>
          <w:r w:rsidR="00000933">
            <w:rPr>
              <w:rFonts w:ascii="Calibri" w:eastAsia="Calibri" w:hAnsi="Calibri" w:cs="Calibri"/>
              <w:szCs w:val="22"/>
            </w:rPr>
            <w:instrText xml:space="preserve">CITATION Mar21 \p 228-230 \l 1033 </w:instrText>
          </w:r>
          <w:r w:rsidR="00000933">
            <w:rPr>
              <w:rFonts w:ascii="Calibri" w:eastAsia="Calibri" w:hAnsi="Calibri" w:cs="Calibri"/>
              <w:szCs w:val="22"/>
            </w:rPr>
            <w:fldChar w:fldCharType="separate"/>
          </w:r>
          <w:r w:rsidR="00000933" w:rsidRPr="00000933">
            <w:rPr>
              <w:rFonts w:ascii="Calibri" w:eastAsia="Calibri" w:hAnsi="Calibri" w:cs="Calibri"/>
              <w:noProof/>
              <w:szCs w:val="22"/>
            </w:rPr>
            <w:t>(From GSM to LTE-Advanced Pro and 5G, 2021, pp. 228-230)</w:t>
          </w:r>
          <w:r w:rsidR="00000933">
            <w:rPr>
              <w:rFonts w:ascii="Calibri" w:eastAsia="Calibri" w:hAnsi="Calibri" w:cs="Calibri"/>
              <w:szCs w:val="22"/>
            </w:rPr>
            <w:fldChar w:fldCharType="end"/>
          </w:r>
        </w:sdtContent>
      </w:sdt>
      <w:r w:rsidR="00000933">
        <w:rPr>
          <w:rFonts w:ascii="Calibri" w:eastAsia="Calibri" w:hAnsi="Calibri" w:cs="Calibri"/>
          <w:szCs w:val="22"/>
        </w:rPr>
        <w:t>.</w:t>
      </w:r>
    </w:p>
    <w:p w14:paraId="66511722" w14:textId="77777777" w:rsidR="00CF1D22" w:rsidRPr="00CF1D22" w:rsidRDefault="00CF1D22" w:rsidP="00CF1D22">
      <w:pPr>
        <w:ind w:left="360" w:firstLine="0"/>
        <w:rPr>
          <w:rFonts w:ascii="Calibri" w:eastAsia="Calibri" w:hAnsi="Calibri" w:cs="Calibri"/>
          <w:szCs w:val="22"/>
        </w:rPr>
      </w:pPr>
    </w:p>
    <w:p w14:paraId="4FF16B03"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an RB?</w:t>
      </w:r>
    </w:p>
    <w:p w14:paraId="7BA32EFF" w14:textId="10B192CC"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A Resource Block (RB) in LTE consists of 12 subcarriers over a time slot of 0.5 </w:t>
      </w:r>
      <w:proofErr w:type="spellStart"/>
      <w:r w:rsidRPr="00CF1D22">
        <w:rPr>
          <w:rFonts w:ascii="Calibri" w:eastAsia="Calibri" w:hAnsi="Calibri" w:cs="Calibri"/>
          <w:szCs w:val="22"/>
        </w:rPr>
        <w:t>ms.</w:t>
      </w:r>
      <w:proofErr w:type="spellEnd"/>
      <w:r w:rsidRPr="00CF1D22">
        <w:rPr>
          <w:rFonts w:ascii="Calibri" w:eastAsia="Calibri" w:hAnsi="Calibri" w:cs="Calibri"/>
          <w:szCs w:val="22"/>
        </w:rPr>
        <w:t xml:space="preserve"> It is the smallest unit of resource allocation used for scheduling and managing radio resources for data transmission </w:t>
      </w:r>
      <w:sdt>
        <w:sdtPr>
          <w:rPr>
            <w:rFonts w:ascii="Calibri" w:eastAsia="Calibri" w:hAnsi="Calibri" w:cs="Calibri"/>
            <w:szCs w:val="22"/>
          </w:rPr>
          <w:id w:val="-1350171125"/>
          <w:citation/>
        </w:sdtPr>
        <w:sdtContent>
          <w:r w:rsidR="00F370DF">
            <w:rPr>
              <w:rFonts w:ascii="Calibri" w:eastAsia="Calibri" w:hAnsi="Calibri" w:cs="Calibri"/>
              <w:szCs w:val="22"/>
            </w:rPr>
            <w:fldChar w:fldCharType="begin"/>
          </w:r>
          <w:r w:rsidR="00F370DF">
            <w:rPr>
              <w:rFonts w:ascii="Calibri" w:eastAsia="Calibri" w:hAnsi="Calibri" w:cs="Calibri"/>
              <w:szCs w:val="22"/>
            </w:rPr>
            <w:instrText xml:space="preserve">CITATION Mar21 \p 225-226 \l 1033 </w:instrText>
          </w:r>
          <w:r w:rsidR="00F370DF">
            <w:rPr>
              <w:rFonts w:ascii="Calibri" w:eastAsia="Calibri" w:hAnsi="Calibri" w:cs="Calibri"/>
              <w:szCs w:val="22"/>
            </w:rPr>
            <w:fldChar w:fldCharType="separate"/>
          </w:r>
          <w:r w:rsidR="00F370DF" w:rsidRPr="00F370DF">
            <w:rPr>
              <w:rFonts w:ascii="Calibri" w:eastAsia="Calibri" w:hAnsi="Calibri" w:cs="Calibri"/>
              <w:noProof/>
              <w:szCs w:val="22"/>
            </w:rPr>
            <w:t>(From GSM to LTE-Advanced Pro and 5G, 2021, pp. 225-226)</w:t>
          </w:r>
          <w:r w:rsidR="00F370DF">
            <w:rPr>
              <w:rFonts w:ascii="Calibri" w:eastAsia="Calibri" w:hAnsi="Calibri" w:cs="Calibri"/>
              <w:szCs w:val="22"/>
            </w:rPr>
            <w:fldChar w:fldCharType="end"/>
          </w:r>
        </w:sdtContent>
      </w:sdt>
      <w:r w:rsidRPr="00CF1D22">
        <w:rPr>
          <w:rFonts w:ascii="Calibri" w:eastAsia="Calibri" w:hAnsi="Calibri" w:cs="Calibri"/>
          <w:szCs w:val="22"/>
        </w:rPr>
        <w:t>.</w:t>
      </w:r>
    </w:p>
    <w:p w14:paraId="3E4EF5D5" w14:textId="77777777" w:rsidR="00CF1D22" w:rsidRPr="00CF1D22" w:rsidRDefault="00CF1D22" w:rsidP="00CF1D22">
      <w:pPr>
        <w:ind w:left="360" w:firstLine="0"/>
        <w:rPr>
          <w:rFonts w:ascii="Calibri" w:eastAsia="Calibri" w:hAnsi="Calibri" w:cs="Calibri"/>
          <w:szCs w:val="22"/>
        </w:rPr>
      </w:pPr>
    </w:p>
    <w:p w14:paraId="7639B655"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CS-fallback?</w:t>
      </w:r>
    </w:p>
    <w:p w14:paraId="1F14BF6F" w14:textId="5CF46E04"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Circuit Switched Fallback (CS-fallback) allows LTE devices to switch to legacy GSM or UMTS networks for voice calls, as LTE primarily handles data over packet-switched networks and lacks native circuit-switched voice support </w:t>
      </w:r>
      <w:sdt>
        <w:sdtPr>
          <w:rPr>
            <w:rFonts w:ascii="Calibri" w:eastAsia="Calibri" w:hAnsi="Calibri" w:cs="Calibri"/>
            <w:szCs w:val="22"/>
          </w:rPr>
          <w:id w:val="659819821"/>
          <w:citation/>
        </w:sdtPr>
        <w:sdtContent>
          <w:r w:rsidR="004366FA">
            <w:rPr>
              <w:rFonts w:ascii="Calibri" w:eastAsia="Calibri" w:hAnsi="Calibri" w:cs="Calibri"/>
              <w:szCs w:val="22"/>
            </w:rPr>
            <w:fldChar w:fldCharType="begin"/>
          </w:r>
          <w:r w:rsidR="004366FA">
            <w:rPr>
              <w:rFonts w:ascii="Calibri" w:eastAsia="Calibri" w:hAnsi="Calibri" w:cs="Calibri"/>
              <w:szCs w:val="22"/>
            </w:rPr>
            <w:instrText xml:space="preserve">CITATION Mar21 \p 285 \l 1033 </w:instrText>
          </w:r>
          <w:r w:rsidR="004366FA">
            <w:rPr>
              <w:rFonts w:ascii="Calibri" w:eastAsia="Calibri" w:hAnsi="Calibri" w:cs="Calibri"/>
              <w:szCs w:val="22"/>
            </w:rPr>
            <w:fldChar w:fldCharType="separate"/>
          </w:r>
          <w:r w:rsidR="004366FA" w:rsidRPr="004366FA">
            <w:rPr>
              <w:rFonts w:ascii="Calibri" w:eastAsia="Calibri" w:hAnsi="Calibri" w:cs="Calibri"/>
              <w:noProof/>
              <w:szCs w:val="22"/>
            </w:rPr>
            <w:t>(From GSM to LTE-Advanced Pro and 5G, 2021, p. 285)</w:t>
          </w:r>
          <w:r w:rsidR="004366FA">
            <w:rPr>
              <w:rFonts w:ascii="Calibri" w:eastAsia="Calibri" w:hAnsi="Calibri" w:cs="Calibri"/>
              <w:szCs w:val="22"/>
            </w:rPr>
            <w:fldChar w:fldCharType="end"/>
          </w:r>
        </w:sdtContent>
      </w:sdt>
      <w:r w:rsidRPr="00CF1D22">
        <w:rPr>
          <w:rFonts w:ascii="Calibri" w:eastAsia="Calibri" w:hAnsi="Calibri" w:cs="Calibri"/>
          <w:szCs w:val="22"/>
        </w:rPr>
        <w:t>.</w:t>
      </w:r>
    </w:p>
    <w:p w14:paraId="7A00D62B" w14:textId="77777777" w:rsidR="00CF1D22" w:rsidRPr="00CF1D22" w:rsidRDefault="00CF1D22" w:rsidP="00CF1D22">
      <w:pPr>
        <w:ind w:left="360" w:firstLine="0"/>
        <w:rPr>
          <w:rFonts w:ascii="Calibri" w:eastAsia="Calibri" w:hAnsi="Calibri" w:cs="Calibri"/>
          <w:szCs w:val="22"/>
        </w:rPr>
      </w:pPr>
    </w:p>
    <w:p w14:paraId="0D252F74"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the big disadvantage of Internet-based voice services compared to network operator-based voice services?</w:t>
      </w:r>
    </w:p>
    <w:p w14:paraId="669A241E" w14:textId="6452F7C5"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Internet-based voice services, such as VoIP, often experience variable call quality due to factors like latency, jitter, and packet loss, unlike operator-based voice services, which are designed to maintain consistent quality with dedicated network resources </w:t>
      </w:r>
      <w:sdt>
        <w:sdtPr>
          <w:rPr>
            <w:rFonts w:ascii="Calibri" w:eastAsia="Calibri" w:hAnsi="Calibri" w:cs="Calibri"/>
            <w:szCs w:val="22"/>
          </w:rPr>
          <w:id w:val="-1276092344"/>
          <w:citation/>
        </w:sdtPr>
        <w:sdtContent>
          <w:r w:rsidR="00425844">
            <w:rPr>
              <w:rFonts w:ascii="Calibri" w:eastAsia="Calibri" w:hAnsi="Calibri" w:cs="Calibri"/>
              <w:szCs w:val="22"/>
            </w:rPr>
            <w:fldChar w:fldCharType="begin"/>
          </w:r>
          <w:r w:rsidR="00425844">
            <w:rPr>
              <w:rFonts w:ascii="Calibri" w:eastAsia="Calibri" w:hAnsi="Calibri" w:cs="Calibri"/>
              <w:szCs w:val="22"/>
            </w:rPr>
            <w:instrText xml:space="preserve">CITATION Mar21 \p 243-246 \l 1033 </w:instrText>
          </w:r>
          <w:r w:rsidR="00425844">
            <w:rPr>
              <w:rFonts w:ascii="Calibri" w:eastAsia="Calibri" w:hAnsi="Calibri" w:cs="Calibri"/>
              <w:szCs w:val="22"/>
            </w:rPr>
            <w:fldChar w:fldCharType="separate"/>
          </w:r>
          <w:r w:rsidR="00425844" w:rsidRPr="00425844">
            <w:rPr>
              <w:rFonts w:ascii="Calibri" w:eastAsia="Calibri" w:hAnsi="Calibri" w:cs="Calibri"/>
              <w:noProof/>
              <w:szCs w:val="22"/>
            </w:rPr>
            <w:t>(From GSM to LTE-Advanced Pro and 5G, 2021, pp. 243-246)</w:t>
          </w:r>
          <w:r w:rsidR="00425844">
            <w:rPr>
              <w:rFonts w:ascii="Calibri" w:eastAsia="Calibri" w:hAnsi="Calibri" w:cs="Calibri"/>
              <w:szCs w:val="22"/>
            </w:rPr>
            <w:fldChar w:fldCharType="end"/>
          </w:r>
        </w:sdtContent>
      </w:sdt>
      <w:r w:rsidRPr="00CF1D22">
        <w:rPr>
          <w:rFonts w:ascii="Calibri" w:eastAsia="Calibri" w:hAnsi="Calibri" w:cs="Calibri"/>
          <w:szCs w:val="22"/>
        </w:rPr>
        <w:t>.</w:t>
      </w:r>
    </w:p>
    <w:p w14:paraId="42688ED4" w14:textId="77777777" w:rsidR="00CF1D22" w:rsidRPr="00CF1D22" w:rsidRDefault="00CF1D22" w:rsidP="00CF1D22">
      <w:pPr>
        <w:ind w:left="360" w:firstLine="0"/>
        <w:rPr>
          <w:rFonts w:ascii="Calibri" w:eastAsia="Calibri" w:hAnsi="Calibri" w:cs="Calibri"/>
          <w:szCs w:val="22"/>
        </w:rPr>
      </w:pPr>
    </w:p>
    <w:p w14:paraId="403C457D"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the difference between a cell change order and a handover?</w:t>
      </w:r>
    </w:p>
    <w:p w14:paraId="6342AA85" w14:textId="0D0812A7"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A cell change order is used when the device is in idle mode, directing it to switch to another cell. A handover occurs during an active connection, transferring the ongoing session to a new cell without service interruption </w:t>
      </w:r>
      <w:sdt>
        <w:sdtPr>
          <w:rPr>
            <w:rFonts w:ascii="Calibri" w:eastAsia="Calibri" w:hAnsi="Calibri" w:cs="Calibri"/>
            <w:szCs w:val="22"/>
          </w:rPr>
          <w:id w:val="-746954907"/>
          <w:citation/>
        </w:sdtPr>
        <w:sdtContent>
          <w:r w:rsidR="007A553C">
            <w:rPr>
              <w:rFonts w:ascii="Calibri" w:eastAsia="Calibri" w:hAnsi="Calibri" w:cs="Calibri"/>
              <w:szCs w:val="22"/>
            </w:rPr>
            <w:fldChar w:fldCharType="begin"/>
          </w:r>
          <w:r w:rsidR="007A553C">
            <w:rPr>
              <w:rFonts w:ascii="Calibri" w:eastAsia="Calibri" w:hAnsi="Calibri" w:cs="Calibri"/>
              <w:szCs w:val="22"/>
            </w:rPr>
            <w:instrText xml:space="preserve">CITATION Mar21 \p 211-213 \l 1033 </w:instrText>
          </w:r>
          <w:r w:rsidR="007A553C">
            <w:rPr>
              <w:rFonts w:ascii="Calibri" w:eastAsia="Calibri" w:hAnsi="Calibri" w:cs="Calibri"/>
              <w:szCs w:val="22"/>
            </w:rPr>
            <w:fldChar w:fldCharType="separate"/>
          </w:r>
          <w:r w:rsidR="007A553C" w:rsidRPr="007A553C">
            <w:rPr>
              <w:rFonts w:ascii="Calibri" w:eastAsia="Calibri" w:hAnsi="Calibri" w:cs="Calibri"/>
              <w:noProof/>
              <w:szCs w:val="22"/>
            </w:rPr>
            <w:t>(From GSM to LTE-Advanced Pro and 5G, 2021, pp. 211-213)</w:t>
          </w:r>
          <w:r w:rsidR="007A553C">
            <w:rPr>
              <w:rFonts w:ascii="Calibri" w:eastAsia="Calibri" w:hAnsi="Calibri" w:cs="Calibri"/>
              <w:szCs w:val="22"/>
            </w:rPr>
            <w:fldChar w:fldCharType="end"/>
          </w:r>
        </w:sdtContent>
      </w:sdt>
      <w:r w:rsidRPr="00CF1D22">
        <w:rPr>
          <w:rFonts w:ascii="Calibri" w:eastAsia="Calibri" w:hAnsi="Calibri" w:cs="Calibri"/>
          <w:szCs w:val="22"/>
        </w:rPr>
        <w:t>.</w:t>
      </w:r>
    </w:p>
    <w:p w14:paraId="0F948F8E" w14:textId="77777777" w:rsidR="00CF1D22" w:rsidRDefault="00CF1D22" w:rsidP="00CF1D22">
      <w:pPr>
        <w:ind w:left="360" w:firstLine="0"/>
        <w:rPr>
          <w:rFonts w:ascii="Calibri" w:eastAsia="Calibri" w:hAnsi="Calibri" w:cs="Calibri"/>
          <w:szCs w:val="22"/>
        </w:rPr>
      </w:pPr>
    </w:p>
    <w:p w14:paraId="304AEDE2" w14:textId="77777777" w:rsidR="007A553C" w:rsidRPr="00CF1D22" w:rsidRDefault="007A553C" w:rsidP="00CF1D22">
      <w:pPr>
        <w:ind w:left="360" w:firstLine="0"/>
        <w:rPr>
          <w:rFonts w:ascii="Calibri" w:eastAsia="Calibri" w:hAnsi="Calibri" w:cs="Calibri"/>
          <w:szCs w:val="22"/>
        </w:rPr>
      </w:pPr>
    </w:p>
    <w:p w14:paraId="5153E8E4"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lastRenderedPageBreak/>
        <w:t>What is the difference between a default and a dedicated bearer?</w:t>
      </w:r>
    </w:p>
    <w:p w14:paraId="1B1A5669" w14:textId="000EB17B"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A default bearer provides basic, best-effort connectivity when a device first connects to the network. A dedicated bearer offers enhanced service quality for specific applications, such as video calls or streaming, with better QoS parameters </w:t>
      </w:r>
      <w:sdt>
        <w:sdtPr>
          <w:rPr>
            <w:rFonts w:ascii="Calibri" w:eastAsia="Calibri" w:hAnsi="Calibri" w:cs="Calibri"/>
            <w:szCs w:val="22"/>
          </w:rPr>
          <w:id w:val="1040238615"/>
          <w:citation/>
        </w:sdtPr>
        <w:sdtContent>
          <w:r w:rsidR="009C5A06">
            <w:rPr>
              <w:rFonts w:ascii="Calibri" w:eastAsia="Calibri" w:hAnsi="Calibri" w:cs="Calibri"/>
              <w:szCs w:val="22"/>
            </w:rPr>
            <w:fldChar w:fldCharType="begin"/>
          </w:r>
          <w:r w:rsidR="009C5A06">
            <w:rPr>
              <w:rFonts w:ascii="Calibri" w:eastAsia="Calibri" w:hAnsi="Calibri" w:cs="Calibri"/>
              <w:szCs w:val="22"/>
            </w:rPr>
            <w:instrText xml:space="preserve">CITATION Mar21 \p 242-245 \l 1033 </w:instrText>
          </w:r>
          <w:r w:rsidR="009C5A06">
            <w:rPr>
              <w:rFonts w:ascii="Calibri" w:eastAsia="Calibri" w:hAnsi="Calibri" w:cs="Calibri"/>
              <w:szCs w:val="22"/>
            </w:rPr>
            <w:fldChar w:fldCharType="separate"/>
          </w:r>
          <w:r w:rsidR="009C5A06" w:rsidRPr="009C5A06">
            <w:rPr>
              <w:rFonts w:ascii="Calibri" w:eastAsia="Calibri" w:hAnsi="Calibri" w:cs="Calibri"/>
              <w:noProof/>
              <w:szCs w:val="22"/>
            </w:rPr>
            <w:t>(From GSM to LTE-Advanced Pro and 5G, 2021, pp. 242-245)</w:t>
          </w:r>
          <w:r w:rsidR="009C5A06">
            <w:rPr>
              <w:rFonts w:ascii="Calibri" w:eastAsia="Calibri" w:hAnsi="Calibri" w:cs="Calibri"/>
              <w:szCs w:val="22"/>
            </w:rPr>
            <w:fldChar w:fldCharType="end"/>
          </w:r>
        </w:sdtContent>
      </w:sdt>
      <w:r w:rsidRPr="00CF1D22">
        <w:rPr>
          <w:rFonts w:ascii="Calibri" w:eastAsia="Calibri" w:hAnsi="Calibri" w:cs="Calibri"/>
          <w:szCs w:val="22"/>
        </w:rPr>
        <w:t>.</w:t>
      </w:r>
    </w:p>
    <w:p w14:paraId="0F544756" w14:textId="77777777" w:rsidR="00CF1D22" w:rsidRPr="00CF1D22" w:rsidRDefault="00CF1D22" w:rsidP="00CF1D22">
      <w:pPr>
        <w:ind w:left="360" w:firstLine="0"/>
        <w:rPr>
          <w:rFonts w:ascii="Calibri" w:eastAsia="Calibri" w:hAnsi="Calibri" w:cs="Calibri"/>
          <w:szCs w:val="22"/>
        </w:rPr>
      </w:pPr>
    </w:p>
    <w:p w14:paraId="126BC3ED"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the difference between an S1 and an X2 handover?</w:t>
      </w:r>
    </w:p>
    <w:p w14:paraId="4B480D4D" w14:textId="473BC87B" w:rsidR="00CF1D22" w:rsidRPr="00CF1D22"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An S1 handover routes through the core network (EPC), involving MMEs and S-GWs, usually when X2 interfaces are not available. In contrast, an X2 handover occurs directly between neighboring </w:t>
      </w:r>
      <w:proofErr w:type="spellStart"/>
      <w:r w:rsidRPr="00CF1D22">
        <w:rPr>
          <w:rFonts w:ascii="Calibri" w:eastAsia="Calibri" w:hAnsi="Calibri" w:cs="Calibri"/>
          <w:szCs w:val="22"/>
        </w:rPr>
        <w:t>eNodeBs</w:t>
      </w:r>
      <w:proofErr w:type="spellEnd"/>
      <w:r w:rsidRPr="00CF1D22">
        <w:rPr>
          <w:rFonts w:ascii="Calibri" w:eastAsia="Calibri" w:hAnsi="Calibri" w:cs="Calibri"/>
          <w:szCs w:val="22"/>
        </w:rPr>
        <w:t xml:space="preserve">, offering a faster and more direct transfer method </w:t>
      </w:r>
      <w:sdt>
        <w:sdtPr>
          <w:rPr>
            <w:rFonts w:ascii="Calibri" w:eastAsia="Calibri" w:hAnsi="Calibri" w:cs="Calibri"/>
            <w:szCs w:val="22"/>
          </w:rPr>
          <w:id w:val="463075181"/>
          <w:citation/>
        </w:sdtPr>
        <w:sdtContent>
          <w:r w:rsidR="006131F4">
            <w:rPr>
              <w:rFonts w:ascii="Calibri" w:eastAsia="Calibri" w:hAnsi="Calibri" w:cs="Calibri"/>
              <w:szCs w:val="22"/>
            </w:rPr>
            <w:fldChar w:fldCharType="begin"/>
          </w:r>
          <w:r w:rsidR="006131F4">
            <w:rPr>
              <w:rFonts w:ascii="Calibri" w:eastAsia="Calibri" w:hAnsi="Calibri" w:cs="Calibri"/>
              <w:szCs w:val="22"/>
            </w:rPr>
            <w:instrText xml:space="preserve">CITATION Mar21 \p 254-257 \l 1033 </w:instrText>
          </w:r>
          <w:r w:rsidR="006131F4">
            <w:rPr>
              <w:rFonts w:ascii="Calibri" w:eastAsia="Calibri" w:hAnsi="Calibri" w:cs="Calibri"/>
              <w:szCs w:val="22"/>
            </w:rPr>
            <w:fldChar w:fldCharType="separate"/>
          </w:r>
          <w:r w:rsidR="006131F4" w:rsidRPr="006131F4">
            <w:rPr>
              <w:rFonts w:ascii="Calibri" w:eastAsia="Calibri" w:hAnsi="Calibri" w:cs="Calibri"/>
              <w:noProof/>
              <w:szCs w:val="22"/>
            </w:rPr>
            <w:t>(From GSM to LTE-Advanced Pro and 5G, 2021, pp. 254-257)</w:t>
          </w:r>
          <w:r w:rsidR="006131F4">
            <w:rPr>
              <w:rFonts w:ascii="Calibri" w:eastAsia="Calibri" w:hAnsi="Calibri" w:cs="Calibri"/>
              <w:szCs w:val="22"/>
            </w:rPr>
            <w:fldChar w:fldCharType="end"/>
          </w:r>
        </w:sdtContent>
      </w:sdt>
      <w:r w:rsidRPr="00CF1D22">
        <w:rPr>
          <w:rFonts w:ascii="Calibri" w:eastAsia="Calibri" w:hAnsi="Calibri" w:cs="Calibri"/>
          <w:szCs w:val="22"/>
        </w:rPr>
        <w:t>.</w:t>
      </w:r>
    </w:p>
    <w:p w14:paraId="26331146" w14:textId="77777777" w:rsidR="00CF1D22" w:rsidRPr="00CF1D22" w:rsidRDefault="00CF1D22" w:rsidP="00CF1D22">
      <w:pPr>
        <w:ind w:left="360" w:firstLine="0"/>
        <w:rPr>
          <w:rFonts w:ascii="Calibri" w:eastAsia="Calibri" w:hAnsi="Calibri" w:cs="Calibri"/>
          <w:szCs w:val="22"/>
        </w:rPr>
      </w:pPr>
    </w:p>
    <w:p w14:paraId="102A7D27" w14:textId="77777777" w:rsidR="00CF1D22" w:rsidRPr="00CF1D22" w:rsidRDefault="00CF1D22" w:rsidP="00CF1D22">
      <w:pPr>
        <w:ind w:left="360" w:firstLine="0"/>
        <w:rPr>
          <w:rFonts w:ascii="Calibri" w:eastAsia="Calibri" w:hAnsi="Calibri" w:cs="Calibri"/>
          <w:b/>
          <w:bCs/>
          <w:szCs w:val="22"/>
        </w:rPr>
      </w:pPr>
      <w:r w:rsidRPr="00CF1D22">
        <w:rPr>
          <w:rFonts w:ascii="Calibri" w:eastAsia="Calibri" w:hAnsi="Calibri" w:cs="Calibri"/>
          <w:b/>
          <w:bCs/>
          <w:szCs w:val="22"/>
        </w:rPr>
        <w:t>What is the purpose of DRX in RRC connected state?</w:t>
      </w:r>
    </w:p>
    <w:p w14:paraId="6B887DB9" w14:textId="7D931700" w:rsidR="005705AA" w:rsidRDefault="00CF1D22" w:rsidP="001B3A52">
      <w:pPr>
        <w:ind w:left="360" w:firstLine="360"/>
        <w:rPr>
          <w:rFonts w:ascii="Calibri" w:eastAsia="Calibri" w:hAnsi="Calibri" w:cs="Calibri"/>
          <w:szCs w:val="22"/>
        </w:rPr>
      </w:pPr>
      <w:r w:rsidRPr="00CF1D22">
        <w:rPr>
          <w:rFonts w:ascii="Calibri" w:eastAsia="Calibri" w:hAnsi="Calibri" w:cs="Calibri"/>
          <w:szCs w:val="22"/>
        </w:rPr>
        <w:t xml:space="preserve">Discontinuous Reception (DRX) in the RRC connected state helps save battery life by allowing the device to periodically power down its receiver, balancing energy consumption with data transfer needs while remaining connected </w:t>
      </w:r>
      <w:sdt>
        <w:sdtPr>
          <w:rPr>
            <w:rFonts w:ascii="Calibri" w:eastAsia="Calibri" w:hAnsi="Calibri" w:cs="Calibri"/>
            <w:szCs w:val="22"/>
          </w:rPr>
          <w:id w:val="1661111222"/>
          <w:citation/>
        </w:sdtPr>
        <w:sdtContent>
          <w:r w:rsidR="00E9544B">
            <w:rPr>
              <w:rFonts w:ascii="Calibri" w:eastAsia="Calibri" w:hAnsi="Calibri" w:cs="Calibri"/>
              <w:szCs w:val="22"/>
            </w:rPr>
            <w:fldChar w:fldCharType="begin"/>
          </w:r>
          <w:r w:rsidR="00E9544B">
            <w:rPr>
              <w:rFonts w:ascii="Calibri" w:eastAsia="Calibri" w:hAnsi="Calibri" w:cs="Calibri"/>
              <w:szCs w:val="22"/>
            </w:rPr>
            <w:instrText xml:space="preserve">CITATION Mar21 \p 262-263 \l 1033 </w:instrText>
          </w:r>
          <w:r w:rsidR="00E9544B">
            <w:rPr>
              <w:rFonts w:ascii="Calibri" w:eastAsia="Calibri" w:hAnsi="Calibri" w:cs="Calibri"/>
              <w:szCs w:val="22"/>
            </w:rPr>
            <w:fldChar w:fldCharType="separate"/>
          </w:r>
          <w:r w:rsidR="00E9544B" w:rsidRPr="00E9544B">
            <w:rPr>
              <w:rFonts w:ascii="Calibri" w:eastAsia="Calibri" w:hAnsi="Calibri" w:cs="Calibri"/>
              <w:noProof/>
              <w:szCs w:val="22"/>
            </w:rPr>
            <w:t>(From GSM to LTE-Advanced Pro and 5G, 2021, pp. 262-263)</w:t>
          </w:r>
          <w:r w:rsidR="00E9544B">
            <w:rPr>
              <w:rFonts w:ascii="Calibri" w:eastAsia="Calibri" w:hAnsi="Calibri" w:cs="Calibri"/>
              <w:szCs w:val="22"/>
            </w:rPr>
            <w:fldChar w:fldCharType="end"/>
          </w:r>
        </w:sdtContent>
      </w:sdt>
      <w:r w:rsidRPr="00CF1D22">
        <w:rPr>
          <w:rFonts w:ascii="Calibri" w:eastAsia="Calibri" w:hAnsi="Calibri" w:cs="Calibri"/>
          <w:szCs w:val="22"/>
        </w:rPr>
        <w:t>.</w:t>
      </w:r>
    </w:p>
    <w:p w14:paraId="34DB7BEF" w14:textId="77777777" w:rsidR="00E9544B" w:rsidRDefault="00E9544B" w:rsidP="001B3A52">
      <w:pPr>
        <w:ind w:left="360" w:firstLine="360"/>
        <w:rPr>
          <w:rFonts w:ascii="Calibri" w:eastAsia="Calibri" w:hAnsi="Calibri" w:cs="Calibri"/>
          <w:szCs w:val="22"/>
        </w:rPr>
      </w:pPr>
    </w:p>
    <w:p w14:paraId="028093F6" w14:textId="77777777" w:rsidR="00E9544B" w:rsidRDefault="00E9544B" w:rsidP="001B3A52">
      <w:pPr>
        <w:ind w:left="360" w:firstLine="360"/>
        <w:rPr>
          <w:rFonts w:ascii="Calibri" w:eastAsia="Calibri" w:hAnsi="Calibri" w:cs="Calibri"/>
          <w:szCs w:val="22"/>
        </w:rPr>
      </w:pPr>
    </w:p>
    <w:p w14:paraId="693C7D4E" w14:textId="77777777" w:rsidR="00E9544B" w:rsidRDefault="00E9544B" w:rsidP="001B3A52">
      <w:pPr>
        <w:ind w:left="360" w:firstLine="360"/>
        <w:rPr>
          <w:rFonts w:ascii="Calibri" w:eastAsia="Calibri" w:hAnsi="Calibri" w:cs="Calibri"/>
          <w:szCs w:val="22"/>
        </w:rPr>
      </w:pPr>
    </w:p>
    <w:p w14:paraId="23CAD0D0" w14:textId="77777777" w:rsidR="00E9544B" w:rsidRDefault="00E9544B" w:rsidP="001B3A52">
      <w:pPr>
        <w:ind w:left="360" w:firstLine="360"/>
        <w:rPr>
          <w:rFonts w:ascii="Calibri" w:eastAsia="Calibri" w:hAnsi="Calibri" w:cs="Calibri"/>
          <w:szCs w:val="22"/>
        </w:rPr>
      </w:pPr>
    </w:p>
    <w:p w14:paraId="07AE2D37" w14:textId="77777777" w:rsidR="00E9544B" w:rsidRDefault="00E9544B" w:rsidP="001B3A52">
      <w:pPr>
        <w:ind w:left="360" w:firstLine="360"/>
        <w:rPr>
          <w:rFonts w:ascii="Calibri" w:eastAsia="Calibri" w:hAnsi="Calibri" w:cs="Calibri"/>
          <w:szCs w:val="22"/>
        </w:rPr>
      </w:pPr>
    </w:p>
    <w:p w14:paraId="318A6F68" w14:textId="77777777" w:rsidR="00E9544B" w:rsidRDefault="00E9544B" w:rsidP="001B3A52">
      <w:pPr>
        <w:ind w:left="360" w:firstLine="360"/>
        <w:rPr>
          <w:rFonts w:ascii="Calibri" w:eastAsia="Calibri" w:hAnsi="Calibri" w:cs="Calibri"/>
          <w:szCs w:val="22"/>
        </w:rPr>
      </w:pPr>
    </w:p>
    <w:p w14:paraId="7347BF15" w14:textId="77777777" w:rsidR="00E9544B" w:rsidRDefault="00E9544B" w:rsidP="001B3A52">
      <w:pPr>
        <w:ind w:left="360" w:firstLine="360"/>
        <w:rPr>
          <w:rFonts w:ascii="Calibri" w:eastAsia="Calibri" w:hAnsi="Calibri" w:cs="Calibri"/>
          <w:szCs w:val="22"/>
        </w:rPr>
      </w:pPr>
    </w:p>
    <w:p w14:paraId="42B837F4" w14:textId="77777777" w:rsidR="00E9544B" w:rsidRDefault="00E9544B" w:rsidP="001B3A52">
      <w:pPr>
        <w:ind w:left="360" w:firstLine="360"/>
        <w:rPr>
          <w:rFonts w:ascii="Calibri" w:eastAsia="Calibri" w:hAnsi="Calibri" w:cs="Calibri"/>
          <w:szCs w:val="22"/>
        </w:rPr>
      </w:pPr>
    </w:p>
    <w:sdt>
      <w:sdtPr>
        <w:id w:val="-1543128643"/>
        <w:docPartObj>
          <w:docPartGallery w:val="Bibliographies"/>
          <w:docPartUnique/>
        </w:docPartObj>
      </w:sdtPr>
      <w:sdtEndPr>
        <w:rPr>
          <w:rFonts w:asciiTheme="minorHAnsi" w:eastAsiaTheme="minorEastAsia" w:hAnsiTheme="minorHAnsi" w:cstheme="minorBidi"/>
          <w:b w:val="0"/>
          <w:bCs w:val="0"/>
        </w:rPr>
      </w:sdtEndPr>
      <w:sdtContent>
        <w:p w14:paraId="20A8E12D" w14:textId="1D11E176" w:rsidR="00E9544B" w:rsidRDefault="00E9544B">
          <w:pPr>
            <w:pStyle w:val="Heading1"/>
          </w:pPr>
          <w:r>
            <w:t>References</w:t>
          </w:r>
        </w:p>
        <w:sdt>
          <w:sdtPr>
            <w:id w:val="-573587230"/>
            <w:bibliography/>
          </w:sdtPr>
          <w:sdtContent>
            <w:p w14:paraId="09D3454E" w14:textId="7FD54231" w:rsidR="00E9544B" w:rsidRPr="00E9544B" w:rsidRDefault="00E9544B" w:rsidP="00E9544B">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r>
                <w:rPr>
                  <w:b/>
                  <w:bCs/>
                  <w:noProof/>
                </w:rPr>
                <w:fldChar w:fldCharType="end"/>
              </w:r>
            </w:p>
          </w:sdtContent>
        </w:sdt>
      </w:sdtContent>
    </w:sdt>
    <w:p w14:paraId="00F506F4" w14:textId="77777777" w:rsidR="00E9544B" w:rsidRPr="00793D9E" w:rsidRDefault="00E9544B" w:rsidP="001B3A52">
      <w:pPr>
        <w:ind w:left="360" w:firstLine="360"/>
        <w:rPr>
          <w:rFonts w:ascii="Calibri" w:eastAsia="Calibri" w:hAnsi="Calibri" w:cs="Calibri"/>
          <w:szCs w:val="22"/>
        </w:rPr>
      </w:pPr>
    </w:p>
    <w:sectPr w:rsidR="00E9544B" w:rsidRPr="00793D9E"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BEA6" w14:textId="77777777" w:rsidR="00124367" w:rsidRDefault="00124367">
      <w:pPr>
        <w:spacing w:line="240" w:lineRule="auto"/>
      </w:pPr>
      <w:r>
        <w:separator/>
      </w:r>
    </w:p>
    <w:p w14:paraId="64E9A265" w14:textId="77777777" w:rsidR="00124367" w:rsidRDefault="00124367"/>
  </w:endnote>
  <w:endnote w:type="continuationSeparator" w:id="0">
    <w:p w14:paraId="35A08455" w14:textId="77777777" w:rsidR="00124367" w:rsidRDefault="00124367">
      <w:pPr>
        <w:spacing w:line="240" w:lineRule="auto"/>
      </w:pPr>
      <w:r>
        <w:continuationSeparator/>
      </w:r>
    </w:p>
    <w:p w14:paraId="6A0183D3" w14:textId="77777777" w:rsidR="00124367" w:rsidRDefault="00124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CA362" w14:textId="77777777" w:rsidR="00124367" w:rsidRDefault="00124367">
      <w:pPr>
        <w:spacing w:line="240" w:lineRule="auto"/>
      </w:pPr>
      <w:r>
        <w:separator/>
      </w:r>
    </w:p>
    <w:p w14:paraId="0934DC3E" w14:textId="77777777" w:rsidR="00124367" w:rsidRDefault="00124367"/>
  </w:footnote>
  <w:footnote w:type="continuationSeparator" w:id="0">
    <w:p w14:paraId="1BB347C7" w14:textId="77777777" w:rsidR="00124367" w:rsidRDefault="00124367">
      <w:pPr>
        <w:spacing w:line="240" w:lineRule="auto"/>
      </w:pPr>
      <w:r>
        <w:continuationSeparator/>
      </w:r>
    </w:p>
    <w:p w14:paraId="47D554D1" w14:textId="77777777" w:rsidR="00124367" w:rsidRDefault="00124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15"/>
  </w:num>
  <w:num w:numId="13" w16cid:durableId="211159905">
    <w:abstractNumId w:val="13"/>
  </w:num>
  <w:num w:numId="14" w16cid:durableId="525488662">
    <w:abstractNumId w:val="14"/>
  </w:num>
  <w:num w:numId="15" w16cid:durableId="2146655225">
    <w:abstractNumId w:val="11"/>
  </w:num>
  <w:num w:numId="16" w16cid:durableId="850337301">
    <w:abstractNumId w:val="12"/>
  </w:num>
  <w:num w:numId="17" w16cid:durableId="97799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4150"/>
    <w:rsid w:val="00023AFE"/>
    <w:rsid w:val="000250FB"/>
    <w:rsid w:val="00065C26"/>
    <w:rsid w:val="0006749F"/>
    <w:rsid w:val="000830CA"/>
    <w:rsid w:val="00083912"/>
    <w:rsid w:val="0008466A"/>
    <w:rsid w:val="000856A3"/>
    <w:rsid w:val="00086185"/>
    <w:rsid w:val="00096A05"/>
    <w:rsid w:val="000A390F"/>
    <w:rsid w:val="000A3D9B"/>
    <w:rsid w:val="000B5C6E"/>
    <w:rsid w:val="000C0E26"/>
    <w:rsid w:val="000D4642"/>
    <w:rsid w:val="000D539D"/>
    <w:rsid w:val="000F5043"/>
    <w:rsid w:val="00116273"/>
    <w:rsid w:val="00124367"/>
    <w:rsid w:val="001325F2"/>
    <w:rsid w:val="00135374"/>
    <w:rsid w:val="001572E6"/>
    <w:rsid w:val="001619E6"/>
    <w:rsid w:val="00180C7A"/>
    <w:rsid w:val="00185588"/>
    <w:rsid w:val="00195BCB"/>
    <w:rsid w:val="001A581A"/>
    <w:rsid w:val="001A7563"/>
    <w:rsid w:val="001B3A52"/>
    <w:rsid w:val="001C1DBE"/>
    <w:rsid w:val="001C4397"/>
    <w:rsid w:val="001C7F84"/>
    <w:rsid w:val="001D05AA"/>
    <w:rsid w:val="001E2A5A"/>
    <w:rsid w:val="00204CF5"/>
    <w:rsid w:val="00223CE3"/>
    <w:rsid w:val="0023400D"/>
    <w:rsid w:val="00243E6E"/>
    <w:rsid w:val="00252911"/>
    <w:rsid w:val="00253397"/>
    <w:rsid w:val="00267E10"/>
    <w:rsid w:val="00276061"/>
    <w:rsid w:val="00284712"/>
    <w:rsid w:val="002B15BB"/>
    <w:rsid w:val="002C79E6"/>
    <w:rsid w:val="002F3AE9"/>
    <w:rsid w:val="00300F70"/>
    <w:rsid w:val="0030354A"/>
    <w:rsid w:val="00333A99"/>
    <w:rsid w:val="003623E9"/>
    <w:rsid w:val="003804CC"/>
    <w:rsid w:val="003A51A1"/>
    <w:rsid w:val="003D6AA0"/>
    <w:rsid w:val="0041015C"/>
    <w:rsid w:val="0042107A"/>
    <w:rsid w:val="00425844"/>
    <w:rsid w:val="0043386C"/>
    <w:rsid w:val="004366FA"/>
    <w:rsid w:val="00457DE9"/>
    <w:rsid w:val="00472DF4"/>
    <w:rsid w:val="00476B44"/>
    <w:rsid w:val="00491310"/>
    <w:rsid w:val="0049689B"/>
    <w:rsid w:val="004A14E9"/>
    <w:rsid w:val="004A23EB"/>
    <w:rsid w:val="004B058D"/>
    <w:rsid w:val="004D3636"/>
    <w:rsid w:val="004F3EE9"/>
    <w:rsid w:val="00511B44"/>
    <w:rsid w:val="00522759"/>
    <w:rsid w:val="0052505F"/>
    <w:rsid w:val="00531FD3"/>
    <w:rsid w:val="005342E2"/>
    <w:rsid w:val="005445AE"/>
    <w:rsid w:val="005705AA"/>
    <w:rsid w:val="005A0B1F"/>
    <w:rsid w:val="005A240F"/>
    <w:rsid w:val="005A7906"/>
    <w:rsid w:val="005C199E"/>
    <w:rsid w:val="005D1891"/>
    <w:rsid w:val="00604DEA"/>
    <w:rsid w:val="006131F4"/>
    <w:rsid w:val="00633FAE"/>
    <w:rsid w:val="0064076D"/>
    <w:rsid w:val="00640957"/>
    <w:rsid w:val="006452CA"/>
    <w:rsid w:val="00664C1A"/>
    <w:rsid w:val="0067580D"/>
    <w:rsid w:val="006878BF"/>
    <w:rsid w:val="006A3313"/>
    <w:rsid w:val="006F67C9"/>
    <w:rsid w:val="00703C92"/>
    <w:rsid w:val="00706C4C"/>
    <w:rsid w:val="00713086"/>
    <w:rsid w:val="0073263E"/>
    <w:rsid w:val="00735036"/>
    <w:rsid w:val="007707E4"/>
    <w:rsid w:val="00772F71"/>
    <w:rsid w:val="00773E8B"/>
    <w:rsid w:val="0077487E"/>
    <w:rsid w:val="00793D9E"/>
    <w:rsid w:val="007A553C"/>
    <w:rsid w:val="007A60D5"/>
    <w:rsid w:val="007C5B7C"/>
    <w:rsid w:val="007E130D"/>
    <w:rsid w:val="007F6DE6"/>
    <w:rsid w:val="008222CE"/>
    <w:rsid w:val="00825A21"/>
    <w:rsid w:val="00831AF7"/>
    <w:rsid w:val="00841C0E"/>
    <w:rsid w:val="00850F70"/>
    <w:rsid w:val="0086336D"/>
    <w:rsid w:val="0087407D"/>
    <w:rsid w:val="0087666C"/>
    <w:rsid w:val="00880466"/>
    <w:rsid w:val="0089260E"/>
    <w:rsid w:val="008A492F"/>
    <w:rsid w:val="008C4995"/>
    <w:rsid w:val="008F12CD"/>
    <w:rsid w:val="0092747A"/>
    <w:rsid w:val="009672C7"/>
    <w:rsid w:val="009A502D"/>
    <w:rsid w:val="009C15B9"/>
    <w:rsid w:val="009C3C31"/>
    <w:rsid w:val="009C5A06"/>
    <w:rsid w:val="009F3452"/>
    <w:rsid w:val="00A22EBB"/>
    <w:rsid w:val="00A31A74"/>
    <w:rsid w:val="00A417C1"/>
    <w:rsid w:val="00A424C7"/>
    <w:rsid w:val="00A45B28"/>
    <w:rsid w:val="00A6128C"/>
    <w:rsid w:val="00A84403"/>
    <w:rsid w:val="00A97C63"/>
    <w:rsid w:val="00AD608C"/>
    <w:rsid w:val="00AD643D"/>
    <w:rsid w:val="00AE06C1"/>
    <w:rsid w:val="00AF0C2F"/>
    <w:rsid w:val="00B0200C"/>
    <w:rsid w:val="00B066D9"/>
    <w:rsid w:val="00B12E3C"/>
    <w:rsid w:val="00B203C8"/>
    <w:rsid w:val="00B33EA4"/>
    <w:rsid w:val="00B3616F"/>
    <w:rsid w:val="00B41F38"/>
    <w:rsid w:val="00B57AC2"/>
    <w:rsid w:val="00B62D71"/>
    <w:rsid w:val="00B66140"/>
    <w:rsid w:val="00B7149E"/>
    <w:rsid w:val="00B863FB"/>
    <w:rsid w:val="00B86440"/>
    <w:rsid w:val="00BB2D6F"/>
    <w:rsid w:val="00BD45F3"/>
    <w:rsid w:val="00C00F8F"/>
    <w:rsid w:val="00C03068"/>
    <w:rsid w:val="00C15FB1"/>
    <w:rsid w:val="00C42804"/>
    <w:rsid w:val="00C54C58"/>
    <w:rsid w:val="00C65A60"/>
    <w:rsid w:val="00C73AE9"/>
    <w:rsid w:val="00C805A3"/>
    <w:rsid w:val="00C94229"/>
    <w:rsid w:val="00CC2D96"/>
    <w:rsid w:val="00CC4BAB"/>
    <w:rsid w:val="00CD30D8"/>
    <w:rsid w:val="00CF1D22"/>
    <w:rsid w:val="00CF3C23"/>
    <w:rsid w:val="00CF62B8"/>
    <w:rsid w:val="00D04C0C"/>
    <w:rsid w:val="00D1774E"/>
    <w:rsid w:val="00D23142"/>
    <w:rsid w:val="00D41796"/>
    <w:rsid w:val="00D620FD"/>
    <w:rsid w:val="00D71BC0"/>
    <w:rsid w:val="00D87D83"/>
    <w:rsid w:val="00D91044"/>
    <w:rsid w:val="00D92F61"/>
    <w:rsid w:val="00DA43D7"/>
    <w:rsid w:val="00DB6DF1"/>
    <w:rsid w:val="00DB7D7D"/>
    <w:rsid w:val="00DD267D"/>
    <w:rsid w:val="00DD3E67"/>
    <w:rsid w:val="00DD45E5"/>
    <w:rsid w:val="00E255CF"/>
    <w:rsid w:val="00E3226B"/>
    <w:rsid w:val="00E3295A"/>
    <w:rsid w:val="00E356D8"/>
    <w:rsid w:val="00E52303"/>
    <w:rsid w:val="00E53750"/>
    <w:rsid w:val="00E5536D"/>
    <w:rsid w:val="00E67454"/>
    <w:rsid w:val="00E80248"/>
    <w:rsid w:val="00E9390C"/>
    <w:rsid w:val="00E9544B"/>
    <w:rsid w:val="00EC070B"/>
    <w:rsid w:val="00EC6BF7"/>
    <w:rsid w:val="00EF55C5"/>
    <w:rsid w:val="00F247BE"/>
    <w:rsid w:val="00F370DF"/>
    <w:rsid w:val="00F47091"/>
    <w:rsid w:val="00F6242A"/>
    <w:rsid w:val="00F86611"/>
    <w:rsid w:val="00FA6759"/>
    <w:rsid w:val="00FA6A84"/>
    <w:rsid w:val="00FB468B"/>
    <w:rsid w:val="00FB7F15"/>
    <w:rsid w:val="00FC02BF"/>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3A51A1"/>
    <w:rsid w:val="00640957"/>
    <w:rsid w:val="006D62CF"/>
    <w:rsid w:val="00703C92"/>
    <w:rsid w:val="008F12CD"/>
    <w:rsid w:val="00C5293D"/>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
    <b:Tag>Mar24</b:Tag>
    <b:SourceType>InternetSite</b:SourceType>
    <b:Guid>{D8966634-6410-496C-83BB-F25B251968CF}</b:Guid>
    <b:Title>GSM Q&amp;A</b:Title>
    <b:Year>2024</b:Year>
    <b:Author>
      <b:Author>
        <b:NameList>
          <b:Person>
            <b:Last>Sauter</b:Last>
            <b:First>Martin</b:First>
          </b:Person>
        </b:NameList>
      </b:Author>
    </b:Author>
    <b:InternetSiteTitle>Wirelessmoves</b:InternetSiteTitle>
    <b:Month>08</b:Month>
    <b:Day>28</b:Day>
    <b:URL>https://blog.wirelessmoves.com/2006/05/answers_for_cha.html</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318942DB-E230-4FCD-A51B-1C53A191D660}">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73</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24</cp:revision>
  <dcterms:created xsi:type="dcterms:W3CDTF">2024-09-03T19:51:00Z</dcterms:created>
  <dcterms:modified xsi:type="dcterms:W3CDTF">2024-09-08T22:29:00Z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