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rules-corpus</w:t>
      </w:r>
    </w:p>
    <w:p>
      <w:pPr>
        <w:jc w:val="center"/>
      </w:pPr>
      <w:r>
        <w:rPr>
          <w:b/>
          <w:color w:val="464646"/>
          <w:sz w:val="32"/>
        </w:rPr>
        <w:t>Purpose, Structure, Form, and Development Plan</w:t>
      </w:r>
    </w:p>
    <w:p>
      <w:pPr>
        <w:jc w:val="center"/>
      </w:pPr>
      <w:r>
        <w:rPr>
          <w:i/>
          <w:sz w:val="21"/>
        </w:rPr>
        <w:t>A narrowly scoped, domain-agnostic corpus infrastructure component for the rules ecosystem</w:t>
      </w:r>
    </w:p>
    <w:p/>
    <w:tbl>
      <w:tblPr>
        <w:tblStyle w:val="TableGrid"/>
        <w:tblW w:type="auto" w:w="0"/>
        <w:jc w:val="center"/>
        <w:tblLook w:firstColumn="1" w:firstRow="1" w:lastColumn="0" w:lastRow="0" w:noHBand="0" w:noVBand="1" w:val="04A0"/>
      </w:tblPr>
      <w:tblGrid>
        <w:gridCol w:w="9936"/>
      </w:tblGrid>
      <w:tr>
        <w:tc>
          <w:tcPr>
            <w:tcW w:type="dxa" w:w="9936"/>
            <w:shd w:fill="EEF5FB"/>
          </w:tcPr>
          <w:p>
            <w:r/>
            <w:r>
              <w:rPr>
                <w:b/>
              </w:rPr>
              <w:t xml:space="preserve">Executive intent. </w:t>
            </w:r>
            <w:r>
              <w:t>rules-corpus should own the trustworthy transformation of authoritative source material into immutable, addressable, versioned corpus artifacts that rules engines and rules-factory can consume. It should know everything necessary to prove what source was used and how it became machine-consumable, while knowing nothing about what the rules mean.</w:t>
            </w:r>
          </w:p>
        </w:tc>
      </w:tr>
    </w:tbl>
    <w:p/>
    <w:p>
      <w:pPr>
        <w:pStyle w:val="Heading1"/>
      </w:pPr>
      <w:r>
        <w:t>1. Purpose</w:t>
      </w:r>
    </w:p>
    <w:p>
      <w:r>
        <w:rPr>
          <w:b/>
        </w:rPr>
        <w:t xml:space="preserve">rules-corpus exists to solve one recurring problem once: </w:t>
      </w:r>
      <w:r>
        <w:t>every serious rules engine begins with authoritative source material, but raw source material is not yet a reliable software input.</w:t>
      </w:r>
    </w:p>
    <w:p>
      <w:r>
        <w:t>A PDF, HTML page, XML feed, text file, scanned manual, regulation, contract, or rulebook must be acquired, fingerprinted, normalized, segmented, addressed, and traceably related back to the original source before downstream software can safely treat it as evidence.</w:t>
      </w:r>
    </w:p>
    <w:p>
      <w:pPr>
        <w:pStyle w:val="CodeBlock"/>
        <w:keepLines/>
        <w:spacing w:after="120"/>
      </w:pPr>
      <w:r>
        <w:rPr>
          <w:rFonts w:ascii="Liberation Mono" w:hAnsi="Liberation Mono"/>
          <w:sz w:val="17"/>
        </w:rPr>
        <w:t>Authoritative source</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rules-corpus</w:t>
        <w:br/>
      </w:r>
      <w:r>
        <w:rPr>
          <w:rFonts w:ascii="Liberation Mono" w:hAnsi="Liberation Mono"/>
          <w:sz w:val="17"/>
        </w:rPr>
        <w:t xml:space="preserve">       │</w:t>
        <w:br/>
      </w:r>
      <w:r>
        <w:rPr>
          <w:rFonts w:ascii="Liberation Mono" w:hAnsi="Liberation Mono"/>
          <w:sz w:val="17"/>
        </w:rPr>
        <w:t xml:space="preserve">       ├── immutable source identity</w:t>
        <w:br/>
      </w:r>
      <w:r>
        <w:rPr>
          <w:rFonts w:ascii="Liberation Mono" w:hAnsi="Liberation Mono"/>
          <w:sz w:val="17"/>
        </w:rPr>
        <w:t xml:space="preserve">       ├── normalization record</w:t>
        <w:br/>
      </w:r>
      <w:r>
        <w:rPr>
          <w:rFonts w:ascii="Liberation Mono" w:hAnsi="Liberation Mono"/>
          <w:sz w:val="17"/>
        </w:rPr>
        <w:t xml:space="preserve">       ├── addressable segments</w:t>
        <w:br/>
      </w:r>
      <w:r>
        <w:rPr>
          <w:rFonts w:ascii="Liberation Mono" w:hAnsi="Liberation Mono"/>
          <w:sz w:val="17"/>
        </w:rPr>
        <w:t xml:space="preserve">       ├── source-to-canonical mapping</w:t>
        <w:br/>
      </w:r>
      <w:r>
        <w:rPr>
          <w:rFonts w:ascii="Liberation Mono" w:hAnsi="Liberation Mono"/>
          <w:sz w:val="17"/>
        </w:rPr>
        <w:t xml:space="preserve">       └── reproducible corpus manifest</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rules-factory / hand-built engine</w:t>
        <w:br/>
      </w:r>
    </w:p>
    <w:p>
      <w:r>
        <w:rPr>
          <w:b/>
        </w:rPr>
        <w:t xml:space="preserve">Core promise: </w:t>
      </w:r>
      <w:r>
        <w:t>Given the same source artifact and the same declared transformation pipeline, rules-corpus produces the same canonical corpus identity and the same addressable content, or it fails explicitly.</w:t>
      </w:r>
    </w:p>
    <w:p>
      <w:pPr>
        <w:pStyle w:val="Heading1"/>
      </w:pPr>
      <w:r>
        <w:t>2. Scope and Non-Goals</w:t>
      </w:r>
    </w:p>
    <w:p>
      <w:pPr>
        <w:pStyle w:val="Heading2"/>
      </w:pPr>
      <w:r>
        <w:t>2.1 What rules-corpus owns</w:t>
      </w:r>
    </w:p>
    <w:p>
      <w:pPr>
        <w:pStyle w:val="ListBullet"/>
      </w:pPr>
      <w:r>
        <w:t>Source acquisition metadata: where the material came from, when it was acquired, and what exact artifact was retained.</w:t>
      </w:r>
    </w:p>
    <w:p>
      <w:pPr>
        <w:pStyle w:val="ListBullet"/>
      </w:pPr>
      <w:r>
        <w:t>Immutable content identity: cryptographic digests for original and derived artifacts.</w:t>
      </w:r>
    </w:p>
    <w:p>
      <w:pPr>
        <w:pStyle w:val="ListBullet"/>
      </w:pPr>
      <w:r>
        <w:t>Canonicalization and normalization: deterministic transformations whose versions and parameters are recorded.</w:t>
      </w:r>
    </w:p>
    <w:p>
      <w:pPr>
        <w:pStyle w:val="ListBullet"/>
      </w:pPr>
      <w:r>
        <w:t>Segmentation: deterministic division of canonical content into addressable units.</w:t>
      </w:r>
    </w:p>
    <w:p>
      <w:pPr>
        <w:pStyle w:val="ListBullet"/>
      </w:pPr>
      <w:r>
        <w:t>Location mapping: the ability to map a canonical segment back to its original document location when the source format permits it.</w:t>
      </w:r>
    </w:p>
    <w:p>
      <w:pPr>
        <w:pStyle w:val="ListBullet"/>
      </w:pPr>
      <w:r>
        <w:t>Corpus manifests: machine-readable declarations of artifacts, derivations, hashes, segment schemes, and provenance.</w:t>
      </w:r>
    </w:p>
    <w:p>
      <w:pPr>
        <w:pStyle w:val="ListBullet"/>
      </w:pPr>
      <w:r>
        <w:t>Change detection: determining that source bytes or canonical content have changed, without interpreting the semantic importance of the change.</w:t>
      </w:r>
    </w:p>
    <w:p>
      <w:pPr>
        <w:pStyle w:val="ListBullet"/>
      </w:pPr>
      <w:r>
        <w:t>Verification primitives and tooling: proving that an on-disk corpus matches its manifest.</w:t>
      </w:r>
    </w:p>
    <w:p>
      <w:pPr>
        <w:pStyle w:val="Heading2"/>
      </w:pPr>
      <w:r>
        <w:t>2.2 What rules-corpus explicitly does not own</w:t>
      </w:r>
    </w:p>
    <w:p>
      <w:pPr>
        <w:pStyle w:val="ListBullet"/>
      </w:pPr>
      <w:r>
        <w:t>Rule interpretation, adjudication, inference, or policy decisions.</w:t>
      </w:r>
    </w:p>
    <w:p>
      <w:pPr>
        <w:pStyle w:val="ListBullet"/>
      </w:pPr>
      <w:r>
        <w:t>Game mechanics, legal logic, aircraft operations, combat systems, water chemistry, or any other domain vocabulary.</w:t>
      </w:r>
    </w:p>
    <w:p>
      <w:pPr>
        <w:pStyle w:val="ListBullet"/>
      </w:pPr>
      <w:r>
        <w:t>Rule execution, evaluation sessions, replay execution, persistence, or HTTP APIs.</w:t>
      </w:r>
    </w:p>
    <w:p>
      <w:pPr>
        <w:pStyle w:val="ListBullet"/>
      </w:pPr>
      <w:r>
        <w:t>Deciding whether a cited passage is the correct authority for a rule.</w:t>
      </w:r>
    </w:p>
    <w:p>
      <w:pPr>
        <w:pStyle w:val="ListBullet"/>
      </w:pPr>
      <w:r>
        <w:t>Deciding whether a source is legally authoritative, licensed, current, or sufficient; those are external policy decisions represented as metadata, not inferred facts.</w:t>
      </w:r>
    </w:p>
    <w:p>
      <w:pPr>
        <w:pStyle w:val="ListBullet"/>
      </w:pPr>
      <w:r>
        <w:t>General-purpose document management, search, RAG, embeddings, OCR as a product feature, or knowledge-base functionality.</w:t>
      </w:r>
    </w:p>
    <w:p>
      <w:pPr>
        <w:pStyle w:val="ListBullet"/>
      </w:pPr>
      <w:r>
        <w:t>A catch-all parser framework. Format adapters must serve the corpus contract, not turn the component into a universal ETL system.</w:t>
      </w:r>
    </w:p>
    <w:p>
      <w:r>
        <w:rPr>
          <w:b/>
        </w:rPr>
        <w:t xml:space="preserve">Boundary rule: </w:t>
      </w:r>
      <w:r>
        <w:t>If a proposed feature requires understanding what a source passage means, it does not belong in rules-corpus.</w:t>
      </w:r>
    </w:p>
    <w:p>
      <w:pPr>
        <w:pStyle w:val="Heading1"/>
      </w:pPr>
      <w:r>
        <w:t>3. Position in the Ecosystem</w:t>
      </w:r>
    </w:p>
    <w:p>
      <w:pPr>
        <w:pStyle w:val="CodeBlock"/>
        <w:keepLines/>
        <w:spacing w:after="120"/>
      </w:pPr>
      <w:r>
        <w:rPr>
          <w:rFonts w:ascii="Liberation Mono" w:hAnsi="Liberation Mono"/>
          <w:sz w:val="17"/>
        </w:rPr>
        <w:t xml:space="preserve">                 AUTHORITATIVE MATERIAL</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rules-corpus  │</w:t>
        <w:br/>
      </w:r>
      <w:r>
        <w:rPr>
          <w:rFonts w:ascii="Liberation Mono" w:hAnsi="Liberation Mono"/>
          <w:sz w:val="17"/>
        </w:rPr>
        <w:t xml:space="preserve">                 │ source truth   │</w:t>
        <w:br/>
      </w:r>
      <w:r>
        <w:rPr>
          <w:rFonts w:ascii="Liberation Mono" w:hAnsi="Liberation Mono"/>
          <w:sz w:val="17"/>
        </w:rPr>
        <w:t xml:space="preserve">                 └───────┬────────┘</w:t>
        <w:br/>
      </w:r>
      <w:r>
        <w:rPr>
          <w:rFonts w:ascii="Liberation Mono" w:hAnsi="Liberation Mono"/>
          <w:sz w:val="17"/>
        </w:rPr>
        <w:t xml:space="preserve">                         │ corpus package / manifest</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rules-factory  │</w:t>
        <w:br/>
      </w:r>
      <w:r>
        <w:rPr>
          <w:rFonts w:ascii="Liberation Mono" w:hAnsi="Liberation Mono"/>
          <w:sz w:val="17"/>
        </w:rPr>
        <w:t xml:space="preserve">                 │ engine build   │</w:t>
        <w:br/>
      </w:r>
      <w:r>
        <w:rPr>
          <w:rFonts w:ascii="Liberation Mono" w:hAnsi="Liberation Mono"/>
          <w:sz w:val="17"/>
        </w:rPr>
        <w:t xml:space="preserve">                 └───────┬────────┘</w:t>
        <w:br/>
      </w:r>
      <w:r>
        <w:rPr>
          <w:rFonts w:ascii="Liberation Mono" w:hAnsi="Liberation Mono"/>
          <w:sz w:val="17"/>
        </w:rPr>
        <w:t xml:space="preserve">                         │ generated / hand-built engine</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rules-kernel  │◄── referenced by engine</w:t>
        <w:br/>
      </w:r>
      <w:r>
        <w:rPr>
          <w:rFonts w:ascii="Liberation Mono" w:hAnsi="Liberation Mono"/>
          <w:sz w:val="17"/>
        </w:rPr>
        <w:t xml:space="preserve">                 │ identity,      │</w:t>
        <w:br/>
      </w:r>
      <w:r>
        <w:rPr>
          <w:rFonts w:ascii="Liberation Mono" w:hAnsi="Liberation Mono"/>
          <w:sz w:val="17"/>
        </w:rPr>
        <w:t xml:space="preserve">                 │ provenance,    │</w:t>
        <w:br/>
      </w:r>
      <w:r>
        <w:rPr>
          <w:rFonts w:ascii="Liberation Mono" w:hAnsi="Liberation Mono"/>
          <w:sz w:val="17"/>
        </w:rPr>
        <w:t xml:space="preserve">                 │ resolution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rules-api    │</w:t>
        <w:br/>
      </w:r>
      <w:r>
        <w:rPr>
          <w:rFonts w:ascii="Liberation Mono" w:hAnsi="Liberation Mono"/>
          <w:sz w:val="17"/>
        </w:rPr>
        <w:t xml:space="preserve">                 │ service shell  │</w:t>
        <w:br/>
      </w:r>
      <w:r>
        <w:rPr>
          <w:rFonts w:ascii="Liberation Mono" w:hAnsi="Liberation Mono"/>
          <w:sz w:val="17"/>
        </w:rPr>
        <w:t xml:space="preserve">                 └────────────────┘</w:t>
        <w:br/>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800"/>
            <w:vAlign w:val="center"/>
            <w:shd w:fill="D9EAF7"/>
          </w:tcPr>
          <w:p>
            <w:r/>
            <w:r>
              <w:rPr>
                <w:rFonts w:ascii="Aptos" w:hAnsi="Aptos"/>
                <w:b/>
                <w:sz w:val="18"/>
              </w:rPr>
              <w:t>Component</w:t>
            </w:r>
          </w:p>
        </w:tc>
        <w:tc>
          <w:tcPr>
            <w:tcW w:type="dxa" w:w="4320"/>
            <w:vAlign w:val="center"/>
            <w:shd w:fill="D9EAF7"/>
          </w:tcPr>
          <w:p>
            <w:r/>
            <w:r>
              <w:rPr>
                <w:rFonts w:ascii="Aptos" w:hAnsi="Aptos"/>
                <w:b/>
                <w:sz w:val="18"/>
              </w:rPr>
              <w:t>Primary responsibility</w:t>
            </w:r>
          </w:p>
        </w:tc>
        <w:tc>
          <w:tcPr>
            <w:tcW w:type="dxa" w:w="3888"/>
            <w:vAlign w:val="center"/>
            <w:shd w:fill="D9EAF7"/>
          </w:tcPr>
          <w:p>
            <w:r/>
            <w:r>
              <w:rPr>
                <w:rFonts w:ascii="Aptos" w:hAnsi="Aptos"/>
                <w:b/>
                <w:sz w:val="18"/>
              </w:rPr>
              <w:t>Must not become</w:t>
            </w:r>
          </w:p>
        </w:tc>
      </w:tr>
      <w:tr>
        <w:trPr>
          <w:cantSplit/>
        </w:trPr>
        <w:tc>
          <w:tcPr>
            <w:tcW w:type="dxa" w:w="1800"/>
            <w:vAlign w:val="center"/>
          </w:tcPr>
          <w:p>
            <w:r/>
            <w:r>
              <w:rPr>
                <w:rFonts w:ascii="Aptos" w:hAnsi="Aptos"/>
                <w:b w:val="0"/>
                <w:sz w:val="17"/>
              </w:rPr>
              <w:t>rules-kernel</w:t>
            </w:r>
          </w:p>
        </w:tc>
        <w:tc>
          <w:tcPr>
            <w:tcW w:type="dxa" w:w="4320"/>
            <w:vAlign w:val="center"/>
          </w:tcPr>
          <w:p>
            <w:r/>
            <w:r>
              <w:rPr>
                <w:rFonts w:ascii="Aptos" w:hAnsi="Aptos"/>
                <w:b w:val="0"/>
                <w:sz w:val="17"/>
              </w:rPr>
              <w:t>Stable deterministic and provenance contracts used by engines</w:t>
            </w:r>
          </w:p>
        </w:tc>
        <w:tc>
          <w:tcPr>
            <w:tcW w:type="dxa" w:w="3888"/>
            <w:vAlign w:val="center"/>
          </w:tcPr>
          <w:p>
            <w:r/>
            <w:r>
              <w:rPr>
                <w:rFonts w:ascii="Aptos" w:hAnsi="Aptos"/>
                <w:b w:val="0"/>
                <w:sz w:val="17"/>
              </w:rPr>
              <w:t>Corpus parser, engine runtime, domain framework</w:t>
            </w:r>
          </w:p>
        </w:tc>
      </w:tr>
      <w:tr>
        <w:trPr>
          <w:cantSplit/>
        </w:trPr>
        <w:tc>
          <w:tcPr>
            <w:tcW w:type="dxa" w:w="1800"/>
            <w:vAlign w:val="center"/>
          </w:tcPr>
          <w:p>
            <w:r/>
            <w:r>
              <w:rPr>
                <w:rFonts w:ascii="Aptos" w:hAnsi="Aptos"/>
                <w:b w:val="0"/>
                <w:sz w:val="17"/>
              </w:rPr>
              <w:t>rules-corpus</w:t>
            </w:r>
          </w:p>
        </w:tc>
        <w:tc>
          <w:tcPr>
            <w:tcW w:type="dxa" w:w="4320"/>
            <w:vAlign w:val="center"/>
          </w:tcPr>
          <w:p>
            <w:r/>
            <w:r>
              <w:rPr>
                <w:rFonts w:ascii="Aptos" w:hAnsi="Aptos"/>
                <w:b w:val="0"/>
                <w:sz w:val="17"/>
              </w:rPr>
              <w:t>Trustworthy source-to-canonical corpus pipeline</w:t>
            </w:r>
          </w:p>
        </w:tc>
        <w:tc>
          <w:tcPr>
            <w:tcW w:type="dxa" w:w="3888"/>
            <w:vAlign w:val="center"/>
          </w:tcPr>
          <w:p>
            <w:r/>
            <w:r>
              <w:rPr>
                <w:rFonts w:ascii="Aptos" w:hAnsi="Aptos"/>
                <w:b w:val="0"/>
                <w:sz w:val="17"/>
              </w:rPr>
              <w:t>Rule interpreter or generic document platform</w:t>
            </w:r>
          </w:p>
        </w:tc>
      </w:tr>
      <w:tr>
        <w:trPr>
          <w:cantSplit/>
        </w:trPr>
        <w:tc>
          <w:tcPr>
            <w:tcW w:type="dxa" w:w="1800"/>
            <w:vAlign w:val="center"/>
          </w:tcPr>
          <w:p>
            <w:r/>
            <w:r>
              <w:rPr>
                <w:rFonts w:ascii="Aptos" w:hAnsi="Aptos"/>
                <w:b w:val="0"/>
                <w:sz w:val="17"/>
              </w:rPr>
              <w:t>rules-factory</w:t>
            </w:r>
          </w:p>
        </w:tc>
        <w:tc>
          <w:tcPr>
            <w:tcW w:type="dxa" w:w="4320"/>
            <w:vAlign w:val="center"/>
          </w:tcPr>
          <w:p>
            <w:r/>
            <w:r>
              <w:rPr>
                <w:rFonts w:ascii="Aptos" w:hAnsi="Aptos"/>
                <w:b w:val="0"/>
                <w:sz w:val="17"/>
              </w:rPr>
              <w:t>Produce and validate rules engines from source/requirements</w:t>
            </w:r>
          </w:p>
        </w:tc>
        <w:tc>
          <w:tcPr>
            <w:tcW w:type="dxa" w:w="3888"/>
            <w:vAlign w:val="center"/>
          </w:tcPr>
          <w:p>
            <w:r/>
            <w:r>
              <w:rPr>
                <w:rFonts w:ascii="Aptos" w:hAnsi="Aptos"/>
                <w:b w:val="0"/>
                <w:sz w:val="17"/>
              </w:rPr>
              <w:t>Runtime host or source-of-truth store</w:t>
            </w:r>
          </w:p>
        </w:tc>
      </w:tr>
      <w:tr>
        <w:trPr>
          <w:cantSplit/>
        </w:trPr>
        <w:tc>
          <w:tcPr>
            <w:tcW w:type="dxa" w:w="1800"/>
            <w:vAlign w:val="center"/>
          </w:tcPr>
          <w:p>
            <w:r/>
            <w:r>
              <w:rPr>
                <w:rFonts w:ascii="Aptos" w:hAnsi="Aptos"/>
                <w:b w:val="0"/>
                <w:sz w:val="17"/>
              </w:rPr>
              <w:t>rules-api</w:t>
            </w:r>
          </w:p>
        </w:tc>
        <w:tc>
          <w:tcPr>
            <w:tcW w:type="dxa" w:w="4320"/>
            <w:vAlign w:val="center"/>
          </w:tcPr>
          <w:p>
            <w:r/>
            <w:r>
              <w:rPr>
                <w:rFonts w:ascii="Aptos" w:hAnsi="Aptos"/>
                <w:b w:val="0"/>
                <w:sz w:val="17"/>
              </w:rPr>
              <w:t>Expose engines through reusable application/service infrastructure</w:t>
            </w:r>
          </w:p>
        </w:tc>
        <w:tc>
          <w:tcPr>
            <w:tcW w:type="dxa" w:w="3888"/>
            <w:vAlign w:val="center"/>
          </w:tcPr>
          <w:p>
            <w:r/>
            <w:r>
              <w:rPr>
                <w:rFonts w:ascii="Aptos" w:hAnsi="Aptos"/>
                <w:b w:val="0"/>
                <w:sz w:val="17"/>
              </w:rPr>
              <w:t>Rules semantics or corpus authority</w:t>
            </w:r>
          </w:p>
        </w:tc>
      </w:tr>
    </w:tbl>
    <w:p/>
    <w:p>
      <w:pPr>
        <w:pStyle w:val="Heading1"/>
      </w:pPr>
      <w:r>
        <w:t>4. Architectural Principles</w:t>
      </w:r>
    </w:p>
    <w:p>
      <w:r>
        <w:rPr>
          <w:b/>
        </w:rPr>
        <w:t xml:space="preserve">Determinism before convenience. </w:t>
      </w:r>
      <w:r>
        <w:t>A transformation that cannot be reproduced should not participate in canonical identity without being explicitly marked as non-reproducible evidence.</w:t>
      </w:r>
    </w:p>
    <w:p>
      <w:r>
        <w:rPr>
          <w:b/>
        </w:rPr>
        <w:t xml:space="preserve">Bytes before meaning. </w:t>
      </w:r>
      <w:r>
        <w:t>The system identifies and transforms content; it does not interpret rules.</w:t>
      </w:r>
    </w:p>
    <w:p>
      <w:r>
        <w:rPr>
          <w:b/>
        </w:rPr>
        <w:t xml:space="preserve">Originals are immutable. </w:t>
      </w:r>
      <w:r>
        <w:t>The original acquired artifact is retained as evidence. Derived content is new evidence, never a replacement for the original.</w:t>
      </w:r>
    </w:p>
    <w:p>
      <w:r>
        <w:rPr>
          <w:b/>
        </w:rPr>
        <w:t xml:space="preserve">Every derivation is named. </w:t>
      </w:r>
      <w:r>
        <w:t>Canonical content must record how it was derived, including adapter/version and material parameters.</w:t>
      </w:r>
    </w:p>
    <w:p>
      <w:r>
        <w:rPr>
          <w:b/>
        </w:rPr>
        <w:t xml:space="preserve">Addressing is stable within a corpus version. </w:t>
      </w:r>
      <w:r>
        <w:t>A segment locator must not silently point to different content within the same manifest identity.</w:t>
      </w:r>
    </w:p>
    <w:p>
      <w:r>
        <w:rPr>
          <w:b/>
        </w:rPr>
        <w:t xml:space="preserve">Loss is explicit. </w:t>
      </w:r>
      <w:r>
        <w:t>If normalization discards information, the derivation record says so. No transformation is presented as lossless unless it is.</w:t>
      </w:r>
    </w:p>
    <w:p>
      <w:r>
        <w:rPr>
          <w:b/>
        </w:rPr>
        <w:t xml:space="preserve">Format adapters are replaceable. </w:t>
      </w:r>
      <w:r>
        <w:t>PDF, HTML, XML, Markdown, or text handling lives behind a small contract. The core package must remain format-neutral.</w:t>
      </w:r>
    </w:p>
    <w:p>
      <w:r>
        <w:rPr>
          <w:b/>
        </w:rPr>
        <w:t xml:space="preserve">No hidden network dependency. </w:t>
      </w:r>
      <w:r>
        <w:t>Verification and consumption of a materialized corpus must work offline.</w:t>
      </w:r>
    </w:p>
    <w:p>
      <w:r>
        <w:rPr>
          <w:b/>
        </w:rPr>
        <w:t xml:space="preserve">Small public surface. </w:t>
      </w:r>
      <w:r>
        <w:t>The 1.0 API should expose only concepts that have survived use by materially different consumers.</w:t>
      </w:r>
    </w:p>
    <w:p>
      <w:pPr>
        <w:pStyle w:val="Heading1"/>
      </w:pPr>
      <w:r>
        <w:t>5. Proposed Form and Package Structure</w:t>
      </w:r>
    </w:p>
    <w:p>
      <w:r>
        <w:t>The preferred form is a small .NET library/tooling repository with independently consumable packages rather than one large framework package. Package names below are proposals; exact naming can be adjusted before 1.0.</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592"/>
            <w:vAlign w:val="center"/>
            <w:shd w:fill="D9EAF7"/>
          </w:tcPr>
          <w:p>
            <w:r/>
            <w:r>
              <w:rPr>
                <w:rFonts w:ascii="Aptos" w:hAnsi="Aptos"/>
                <w:b/>
                <w:sz w:val="18"/>
              </w:rPr>
              <w:t>Package / area</w:t>
            </w:r>
          </w:p>
        </w:tc>
        <w:tc>
          <w:tcPr>
            <w:tcW w:type="dxa" w:w="5184"/>
            <w:vAlign w:val="center"/>
            <w:shd w:fill="D9EAF7"/>
          </w:tcPr>
          <w:p>
            <w:r/>
            <w:r>
              <w:rPr>
                <w:rFonts w:ascii="Aptos" w:hAnsi="Aptos"/>
                <w:b/>
                <w:sz w:val="18"/>
              </w:rPr>
              <w:t>Purpose</w:t>
            </w:r>
          </w:p>
        </w:tc>
        <w:tc>
          <w:tcPr>
            <w:tcW w:type="dxa" w:w="2304"/>
            <w:vAlign w:val="center"/>
            <w:shd w:fill="D9EAF7"/>
          </w:tcPr>
          <w:p>
            <w:r/>
            <w:r>
              <w:rPr>
                <w:rFonts w:ascii="Aptos" w:hAnsi="Aptos"/>
                <w:b/>
                <w:sz w:val="18"/>
              </w:rPr>
              <w:t>Dependencies</w:t>
            </w:r>
          </w:p>
        </w:tc>
      </w:tr>
      <w:tr>
        <w:trPr>
          <w:cantSplit/>
        </w:trPr>
        <w:tc>
          <w:tcPr>
            <w:tcW w:type="dxa" w:w="2592"/>
            <w:vAlign w:val="center"/>
          </w:tcPr>
          <w:p>
            <w:r/>
            <w:r>
              <w:rPr>
                <w:rFonts w:ascii="Aptos" w:hAnsi="Aptos"/>
                <w:b w:val="0"/>
                <w:sz w:val="17"/>
              </w:rPr>
              <w:t>RulesCorpus</w:t>
            </w:r>
          </w:p>
        </w:tc>
        <w:tc>
          <w:tcPr>
            <w:tcW w:type="dxa" w:w="5184"/>
            <w:vAlign w:val="center"/>
          </w:tcPr>
          <w:p>
            <w:r/>
            <w:r>
              <w:rPr>
                <w:rFonts w:ascii="Aptos" w:hAnsi="Aptos"/>
                <w:b w:val="0"/>
                <w:sz w:val="17"/>
              </w:rPr>
              <w:t>Core value objects, manifests, hashes, derivation records, segment/address contracts</w:t>
            </w:r>
          </w:p>
        </w:tc>
        <w:tc>
          <w:tcPr>
            <w:tcW w:type="dxa" w:w="2304"/>
            <w:vAlign w:val="center"/>
          </w:tcPr>
          <w:p>
            <w:r/>
            <w:r>
              <w:rPr>
                <w:rFonts w:ascii="Aptos" w:hAnsi="Aptos"/>
                <w:b w:val="0"/>
                <w:sz w:val="17"/>
              </w:rPr>
              <w:t>BCL only where practical</w:t>
            </w:r>
          </w:p>
        </w:tc>
      </w:tr>
      <w:tr>
        <w:trPr>
          <w:cantSplit/>
        </w:trPr>
        <w:tc>
          <w:tcPr>
            <w:tcW w:type="dxa" w:w="2592"/>
            <w:vAlign w:val="center"/>
          </w:tcPr>
          <w:p>
            <w:r/>
            <w:r>
              <w:rPr>
                <w:rFonts w:ascii="Aptos" w:hAnsi="Aptos"/>
                <w:b w:val="0"/>
                <w:sz w:val="17"/>
              </w:rPr>
              <w:t>RulesCorpus.Adapters.Text</w:t>
            </w:r>
          </w:p>
        </w:tc>
        <w:tc>
          <w:tcPr>
            <w:tcW w:type="dxa" w:w="5184"/>
            <w:vAlign w:val="center"/>
          </w:tcPr>
          <w:p>
            <w:r/>
            <w:r>
              <w:rPr>
                <w:rFonts w:ascii="Aptos" w:hAnsi="Aptos"/>
                <w:b w:val="0"/>
                <w:sz w:val="17"/>
              </w:rPr>
              <w:t>Plain-text and Markdown-like deterministic ingestion</w:t>
            </w:r>
          </w:p>
        </w:tc>
        <w:tc>
          <w:tcPr>
            <w:tcW w:type="dxa" w:w="2304"/>
            <w:vAlign w:val="center"/>
          </w:tcPr>
          <w:p>
            <w:r/>
            <w:r>
              <w:rPr>
                <w:rFonts w:ascii="Aptos" w:hAnsi="Aptos"/>
                <w:b w:val="0"/>
                <w:sz w:val="17"/>
              </w:rPr>
              <w:t>RulesCorpus</w:t>
            </w:r>
          </w:p>
        </w:tc>
      </w:tr>
      <w:tr>
        <w:trPr>
          <w:cantSplit/>
        </w:trPr>
        <w:tc>
          <w:tcPr>
            <w:tcW w:type="dxa" w:w="2592"/>
            <w:vAlign w:val="center"/>
          </w:tcPr>
          <w:p>
            <w:r/>
            <w:r>
              <w:rPr>
                <w:rFonts w:ascii="Aptos" w:hAnsi="Aptos"/>
                <w:b w:val="0"/>
                <w:sz w:val="17"/>
              </w:rPr>
              <w:t>RulesCorpus.Adapters.Xml</w:t>
            </w:r>
          </w:p>
        </w:tc>
        <w:tc>
          <w:tcPr>
            <w:tcW w:type="dxa" w:w="5184"/>
            <w:vAlign w:val="center"/>
          </w:tcPr>
          <w:p>
            <w:r/>
            <w:r>
              <w:rPr>
                <w:rFonts w:ascii="Aptos" w:hAnsi="Aptos"/>
                <w:b w:val="0"/>
                <w:sz w:val="17"/>
              </w:rPr>
              <w:t>Deterministic XML ingestion/segmentation primitives</w:t>
            </w:r>
          </w:p>
        </w:tc>
        <w:tc>
          <w:tcPr>
            <w:tcW w:type="dxa" w:w="2304"/>
            <w:vAlign w:val="center"/>
          </w:tcPr>
          <w:p>
            <w:r/>
            <w:r>
              <w:rPr>
                <w:rFonts w:ascii="Aptos" w:hAnsi="Aptos"/>
                <w:b w:val="0"/>
                <w:sz w:val="17"/>
              </w:rPr>
              <w:t>RulesCorpus</w:t>
            </w:r>
          </w:p>
        </w:tc>
      </w:tr>
      <w:tr>
        <w:trPr>
          <w:cantSplit/>
        </w:trPr>
        <w:tc>
          <w:tcPr>
            <w:tcW w:type="dxa" w:w="2592"/>
            <w:vAlign w:val="center"/>
          </w:tcPr>
          <w:p>
            <w:r/>
            <w:r>
              <w:rPr>
                <w:rFonts w:ascii="Aptos" w:hAnsi="Aptos"/>
                <w:b w:val="0"/>
                <w:sz w:val="17"/>
              </w:rPr>
              <w:t>RulesCorpus.Adapters.Html</w:t>
            </w:r>
          </w:p>
        </w:tc>
        <w:tc>
          <w:tcPr>
            <w:tcW w:type="dxa" w:w="5184"/>
            <w:vAlign w:val="center"/>
          </w:tcPr>
          <w:p>
            <w:r/>
            <w:r>
              <w:rPr>
                <w:rFonts w:ascii="Aptos" w:hAnsi="Aptos"/>
                <w:b w:val="0"/>
                <w:sz w:val="17"/>
              </w:rPr>
              <w:t>HTML canonicalization adapter if real consumers require it</w:t>
            </w:r>
          </w:p>
        </w:tc>
        <w:tc>
          <w:tcPr>
            <w:tcW w:type="dxa" w:w="2304"/>
            <w:vAlign w:val="center"/>
          </w:tcPr>
          <w:p>
            <w:r/>
            <w:r>
              <w:rPr>
                <w:rFonts w:ascii="Aptos" w:hAnsi="Aptos"/>
                <w:b w:val="0"/>
                <w:sz w:val="17"/>
              </w:rPr>
              <w:t>RulesCorpus</w:t>
            </w:r>
          </w:p>
        </w:tc>
      </w:tr>
      <w:tr>
        <w:trPr>
          <w:cantSplit/>
        </w:trPr>
        <w:tc>
          <w:tcPr>
            <w:tcW w:type="dxa" w:w="2592"/>
            <w:vAlign w:val="center"/>
          </w:tcPr>
          <w:p>
            <w:r/>
            <w:r>
              <w:rPr>
                <w:rFonts w:ascii="Aptos" w:hAnsi="Aptos"/>
                <w:b w:val="0"/>
                <w:sz w:val="17"/>
              </w:rPr>
              <w:t>RulesCorpus.Adapters.Pdf</w:t>
            </w:r>
          </w:p>
        </w:tc>
        <w:tc>
          <w:tcPr>
            <w:tcW w:type="dxa" w:w="5184"/>
            <w:vAlign w:val="center"/>
          </w:tcPr>
          <w:p>
            <w:r/>
            <w:r>
              <w:rPr>
                <w:rFonts w:ascii="Aptos" w:hAnsi="Aptos"/>
                <w:b w:val="0"/>
                <w:sz w:val="17"/>
              </w:rPr>
              <w:t>PDF extraction adapter; explicitly records extractor identity/version and limitations</w:t>
            </w:r>
          </w:p>
        </w:tc>
        <w:tc>
          <w:tcPr>
            <w:tcW w:type="dxa" w:w="2304"/>
            <w:vAlign w:val="center"/>
          </w:tcPr>
          <w:p>
            <w:r/>
            <w:r>
              <w:rPr>
                <w:rFonts w:ascii="Aptos" w:hAnsi="Aptos"/>
                <w:b w:val="0"/>
                <w:sz w:val="17"/>
              </w:rPr>
              <w:t>RulesCorpus</w:t>
            </w:r>
          </w:p>
        </w:tc>
      </w:tr>
      <w:tr>
        <w:trPr>
          <w:cantSplit/>
        </w:trPr>
        <w:tc>
          <w:tcPr>
            <w:tcW w:type="dxa" w:w="2592"/>
            <w:vAlign w:val="center"/>
          </w:tcPr>
          <w:p>
            <w:r/>
            <w:r>
              <w:rPr>
                <w:rFonts w:ascii="Aptos" w:hAnsi="Aptos"/>
                <w:b w:val="0"/>
                <w:sz w:val="17"/>
              </w:rPr>
              <w:t>RulesCorpus.Testing</w:t>
            </w:r>
          </w:p>
        </w:tc>
        <w:tc>
          <w:tcPr>
            <w:tcW w:type="dxa" w:w="5184"/>
            <w:vAlign w:val="center"/>
          </w:tcPr>
          <w:p>
            <w:r/>
            <w:r>
              <w:rPr>
                <w:rFonts w:ascii="Aptos" w:hAnsi="Aptos"/>
                <w:b w:val="0"/>
                <w:sz w:val="17"/>
              </w:rPr>
              <w:t>Fixtures, manifest assertions, deterministic adapter test helpers</w:t>
            </w:r>
          </w:p>
        </w:tc>
        <w:tc>
          <w:tcPr>
            <w:tcW w:type="dxa" w:w="2304"/>
            <w:vAlign w:val="center"/>
          </w:tcPr>
          <w:p>
            <w:r/>
            <w:r>
              <w:rPr>
                <w:rFonts w:ascii="Aptos" w:hAnsi="Aptos"/>
                <w:b w:val="0"/>
                <w:sz w:val="17"/>
              </w:rPr>
              <w:t>RulesCorpus</w:t>
            </w:r>
          </w:p>
        </w:tc>
      </w:tr>
      <w:tr>
        <w:trPr>
          <w:cantSplit/>
        </w:trPr>
        <w:tc>
          <w:tcPr>
            <w:tcW w:type="dxa" w:w="2592"/>
            <w:vAlign w:val="center"/>
          </w:tcPr>
          <w:p>
            <w:r/>
            <w:r>
              <w:rPr>
                <w:rFonts w:ascii="Aptos" w:hAnsi="Aptos"/>
                <w:b w:val="0"/>
                <w:sz w:val="17"/>
              </w:rPr>
              <w:t>rules-corpus CLI</w:t>
            </w:r>
          </w:p>
        </w:tc>
        <w:tc>
          <w:tcPr>
            <w:tcW w:type="dxa" w:w="5184"/>
            <w:vAlign w:val="center"/>
          </w:tcPr>
          <w:p>
            <w:r/>
            <w:r>
              <w:rPr>
                <w:rFonts w:ascii="Aptos" w:hAnsi="Aptos"/>
                <w:b w:val="0"/>
                <w:sz w:val="17"/>
              </w:rPr>
              <w:t>Materialize, verify, diff, inspect, and package corpora</w:t>
            </w:r>
          </w:p>
        </w:tc>
        <w:tc>
          <w:tcPr>
            <w:tcW w:type="dxa" w:w="2304"/>
            <w:vAlign w:val="center"/>
          </w:tcPr>
          <w:p>
            <w:r/>
            <w:r>
              <w:rPr>
                <w:rFonts w:ascii="Aptos" w:hAnsi="Aptos"/>
                <w:b w:val="0"/>
                <w:sz w:val="17"/>
              </w:rPr>
              <w:t>Core + selected adapters</w:t>
            </w:r>
          </w:p>
        </w:tc>
      </w:tr>
    </w:tbl>
    <w:p/>
    <w:p>
      <w:r>
        <w:rPr>
          <w:b/>
        </w:rPr>
        <w:t xml:space="preserve">Do not create all adapter packages on day one. </w:t>
      </w:r>
      <w:r>
        <w:t>Start with the formats demanded by real consumers and split adapters only when dependency or release independence justifies it.</w:t>
      </w:r>
    </w:p>
    <w:p>
      <w:pPr>
        <w:pStyle w:val="Heading1"/>
      </w:pPr>
      <w:r>
        <w:t>6. Core Domain Model</w:t>
      </w:r>
    </w:p>
    <w:p>
      <w:r>
        <w:t>The model should be deliberately small. Names are illustrative and should be validated against real consumers before freezing.</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160"/>
            <w:vAlign w:val="center"/>
            <w:shd w:fill="D9EAF7"/>
          </w:tcPr>
          <w:p>
            <w:r/>
            <w:r>
              <w:rPr>
                <w:rFonts w:ascii="Aptos" w:hAnsi="Aptos"/>
                <w:b/>
                <w:sz w:val="18"/>
              </w:rPr>
              <w:t>Concept</w:t>
            </w:r>
          </w:p>
        </w:tc>
        <w:tc>
          <w:tcPr>
            <w:tcW w:type="dxa" w:w="4608"/>
            <w:vAlign w:val="center"/>
            <w:shd w:fill="D9EAF7"/>
          </w:tcPr>
          <w:p>
            <w:r/>
            <w:r>
              <w:rPr>
                <w:rFonts w:ascii="Aptos" w:hAnsi="Aptos"/>
                <w:b/>
                <w:sz w:val="18"/>
              </w:rPr>
              <w:t>Responsibility</w:t>
            </w:r>
          </w:p>
        </w:tc>
        <w:tc>
          <w:tcPr>
            <w:tcW w:type="dxa" w:w="3312"/>
            <w:vAlign w:val="center"/>
            <w:shd w:fill="D9EAF7"/>
          </w:tcPr>
          <w:p>
            <w:r/>
            <w:r>
              <w:rPr>
                <w:rFonts w:ascii="Aptos" w:hAnsi="Aptos"/>
                <w:b/>
                <w:sz w:val="18"/>
              </w:rPr>
              <w:t>Example</w:t>
            </w:r>
          </w:p>
        </w:tc>
      </w:tr>
      <w:tr>
        <w:trPr>
          <w:cantSplit/>
        </w:trPr>
        <w:tc>
          <w:tcPr>
            <w:tcW w:type="dxa" w:w="2160"/>
            <w:vAlign w:val="center"/>
          </w:tcPr>
          <w:p>
            <w:r/>
            <w:r>
              <w:rPr>
                <w:rFonts w:ascii="Aptos" w:hAnsi="Aptos"/>
                <w:b w:val="0"/>
                <w:sz w:val="17"/>
              </w:rPr>
              <w:t>CorpusId</w:t>
            </w:r>
          </w:p>
        </w:tc>
        <w:tc>
          <w:tcPr>
            <w:tcW w:type="dxa" w:w="4608"/>
            <w:vAlign w:val="center"/>
          </w:tcPr>
          <w:p>
            <w:r/>
            <w:r>
              <w:rPr>
                <w:rFonts w:ascii="Aptos" w:hAnsi="Aptos"/>
                <w:b w:val="0"/>
                <w:sz w:val="17"/>
              </w:rPr>
              <w:t>Stable human/machine identifier for a logical corpus</w:t>
            </w:r>
          </w:p>
        </w:tc>
        <w:tc>
          <w:tcPr>
            <w:tcW w:type="dxa" w:w="3312"/>
            <w:vAlign w:val="center"/>
          </w:tcPr>
          <w:p>
            <w:r/>
            <w:r>
              <w:rPr>
                <w:rFonts w:ascii="Aptos" w:hAnsi="Aptos"/>
                <w:b w:val="0"/>
                <w:sz w:val="17"/>
              </w:rPr>
              <w:t>"faa-part-107"</w:t>
            </w:r>
          </w:p>
        </w:tc>
      </w:tr>
      <w:tr>
        <w:trPr>
          <w:cantSplit/>
        </w:trPr>
        <w:tc>
          <w:tcPr>
            <w:tcW w:type="dxa" w:w="2160"/>
            <w:vAlign w:val="center"/>
          </w:tcPr>
          <w:p>
            <w:r/>
            <w:r>
              <w:rPr>
                <w:rFonts w:ascii="Aptos" w:hAnsi="Aptos"/>
                <w:b w:val="0"/>
                <w:sz w:val="17"/>
              </w:rPr>
              <w:t>ArtifactId</w:t>
            </w:r>
          </w:p>
        </w:tc>
        <w:tc>
          <w:tcPr>
            <w:tcW w:type="dxa" w:w="4608"/>
            <w:vAlign w:val="center"/>
          </w:tcPr>
          <w:p>
            <w:r/>
            <w:r>
              <w:rPr>
                <w:rFonts w:ascii="Aptos" w:hAnsi="Aptos"/>
                <w:b w:val="0"/>
                <w:sz w:val="17"/>
              </w:rPr>
              <w:t>Identity of one acquired source artifact</w:t>
            </w:r>
          </w:p>
        </w:tc>
        <w:tc>
          <w:tcPr>
            <w:tcW w:type="dxa" w:w="3312"/>
            <w:vAlign w:val="center"/>
          </w:tcPr>
          <w:p>
            <w:r/>
            <w:r>
              <w:rPr>
                <w:rFonts w:ascii="Aptos" w:hAnsi="Aptos"/>
                <w:b w:val="0"/>
                <w:sz w:val="17"/>
              </w:rPr>
              <w:t>original PDF or XML snapshot</w:t>
            </w:r>
          </w:p>
        </w:tc>
      </w:tr>
      <w:tr>
        <w:trPr>
          <w:cantSplit/>
        </w:trPr>
        <w:tc>
          <w:tcPr>
            <w:tcW w:type="dxa" w:w="2160"/>
            <w:vAlign w:val="center"/>
          </w:tcPr>
          <w:p>
            <w:r/>
            <w:r>
              <w:rPr>
                <w:rFonts w:ascii="Aptos" w:hAnsi="Aptos"/>
                <w:b w:val="0"/>
                <w:sz w:val="17"/>
              </w:rPr>
              <w:t>ContentDigest</w:t>
            </w:r>
          </w:p>
        </w:tc>
        <w:tc>
          <w:tcPr>
            <w:tcW w:type="dxa" w:w="4608"/>
            <w:vAlign w:val="center"/>
          </w:tcPr>
          <w:p>
            <w:r/>
            <w:r>
              <w:rPr>
                <w:rFonts w:ascii="Aptos" w:hAnsi="Aptos"/>
                <w:b w:val="0"/>
                <w:sz w:val="17"/>
              </w:rPr>
              <w:t>Algorithm + digest of exact bytes/content</w:t>
            </w:r>
          </w:p>
        </w:tc>
        <w:tc>
          <w:tcPr>
            <w:tcW w:type="dxa" w:w="3312"/>
            <w:vAlign w:val="center"/>
          </w:tcPr>
          <w:p>
            <w:r/>
            <w:r>
              <w:rPr>
                <w:rFonts w:ascii="Aptos" w:hAnsi="Aptos"/>
                <w:b w:val="0"/>
                <w:sz w:val="17"/>
              </w:rPr>
              <w:t>sha256:...</w:t>
            </w:r>
          </w:p>
        </w:tc>
      </w:tr>
      <w:tr>
        <w:trPr>
          <w:cantSplit/>
        </w:trPr>
        <w:tc>
          <w:tcPr>
            <w:tcW w:type="dxa" w:w="2160"/>
            <w:vAlign w:val="center"/>
          </w:tcPr>
          <w:p>
            <w:r/>
            <w:r>
              <w:rPr>
                <w:rFonts w:ascii="Aptos" w:hAnsi="Aptos"/>
                <w:b w:val="0"/>
                <w:sz w:val="17"/>
              </w:rPr>
              <w:t>AcquisitionRecord</w:t>
            </w:r>
          </w:p>
        </w:tc>
        <w:tc>
          <w:tcPr>
            <w:tcW w:type="dxa" w:w="4608"/>
            <w:vAlign w:val="center"/>
          </w:tcPr>
          <w:p>
            <w:r/>
            <w:r>
              <w:rPr>
                <w:rFonts w:ascii="Aptos" w:hAnsi="Aptos"/>
                <w:b w:val="0"/>
                <w:sz w:val="17"/>
              </w:rPr>
              <w:t>Origin URI/reference, acquisition time, media type, declared metadata</w:t>
            </w:r>
          </w:p>
        </w:tc>
        <w:tc>
          <w:tcPr>
            <w:tcW w:type="dxa" w:w="3312"/>
            <w:vAlign w:val="center"/>
          </w:tcPr>
          <w:p>
            <w:r/>
            <w:r>
              <w:rPr>
                <w:rFonts w:ascii="Aptos" w:hAnsi="Aptos"/>
                <w:b w:val="0"/>
                <w:sz w:val="17"/>
              </w:rPr>
              <w:t>eCFR XML acquired 2026-09-30</w:t>
            </w:r>
          </w:p>
        </w:tc>
      </w:tr>
      <w:tr>
        <w:trPr>
          <w:cantSplit/>
        </w:trPr>
        <w:tc>
          <w:tcPr>
            <w:tcW w:type="dxa" w:w="2160"/>
            <w:vAlign w:val="center"/>
          </w:tcPr>
          <w:p>
            <w:r/>
            <w:r>
              <w:rPr>
                <w:rFonts w:ascii="Aptos" w:hAnsi="Aptos"/>
                <w:b w:val="0"/>
                <w:sz w:val="17"/>
              </w:rPr>
              <w:t>DerivationRecord</w:t>
            </w:r>
          </w:p>
        </w:tc>
        <w:tc>
          <w:tcPr>
            <w:tcW w:type="dxa" w:w="4608"/>
            <w:vAlign w:val="center"/>
          </w:tcPr>
          <w:p>
            <w:r/>
            <w:r>
              <w:rPr>
                <w:rFonts w:ascii="Aptos" w:hAnsi="Aptos"/>
                <w:b w:val="0"/>
                <w:sz w:val="17"/>
              </w:rPr>
              <w:t>Named transformation from one artifact to another</w:t>
            </w:r>
          </w:p>
        </w:tc>
        <w:tc>
          <w:tcPr>
            <w:tcW w:type="dxa" w:w="3312"/>
            <w:vAlign w:val="center"/>
          </w:tcPr>
          <w:p>
            <w:r/>
            <w:r>
              <w:rPr>
                <w:rFonts w:ascii="Aptos" w:hAnsi="Aptos"/>
                <w:b w:val="0"/>
                <w:sz w:val="17"/>
              </w:rPr>
              <w:t>pdf-text/v1; unicode-normalize/v1</w:t>
            </w:r>
          </w:p>
        </w:tc>
      </w:tr>
      <w:tr>
        <w:trPr>
          <w:cantSplit/>
        </w:trPr>
        <w:tc>
          <w:tcPr>
            <w:tcW w:type="dxa" w:w="2160"/>
            <w:vAlign w:val="center"/>
          </w:tcPr>
          <w:p>
            <w:r/>
            <w:r>
              <w:rPr>
                <w:rFonts w:ascii="Aptos" w:hAnsi="Aptos"/>
                <w:b w:val="0"/>
                <w:sz w:val="17"/>
              </w:rPr>
              <w:t>CanonicalArtifact</w:t>
            </w:r>
          </w:p>
        </w:tc>
        <w:tc>
          <w:tcPr>
            <w:tcW w:type="dxa" w:w="4608"/>
            <w:vAlign w:val="center"/>
          </w:tcPr>
          <w:p>
            <w:r/>
            <w:r>
              <w:rPr>
                <w:rFonts w:ascii="Aptos" w:hAnsi="Aptos"/>
                <w:b w:val="0"/>
                <w:sz w:val="17"/>
              </w:rPr>
              <w:t>Deterministically derived content used for segmentation</w:t>
            </w:r>
          </w:p>
        </w:tc>
        <w:tc>
          <w:tcPr>
            <w:tcW w:type="dxa" w:w="3312"/>
            <w:vAlign w:val="center"/>
          </w:tcPr>
          <w:p>
            <w:r/>
            <w:r>
              <w:rPr>
                <w:rFonts w:ascii="Aptos" w:hAnsi="Aptos"/>
                <w:b w:val="0"/>
                <w:sz w:val="17"/>
              </w:rPr>
              <w:t>UTF-8 normalized text</w:t>
            </w:r>
          </w:p>
        </w:tc>
      </w:tr>
      <w:tr>
        <w:trPr>
          <w:cantSplit/>
        </w:trPr>
        <w:tc>
          <w:tcPr>
            <w:tcW w:type="dxa" w:w="2160"/>
            <w:vAlign w:val="center"/>
          </w:tcPr>
          <w:p>
            <w:r/>
            <w:r>
              <w:rPr>
                <w:rFonts w:ascii="Aptos" w:hAnsi="Aptos"/>
                <w:b w:val="0"/>
                <w:sz w:val="17"/>
              </w:rPr>
              <w:t>SegmentId</w:t>
            </w:r>
          </w:p>
        </w:tc>
        <w:tc>
          <w:tcPr>
            <w:tcW w:type="dxa" w:w="4608"/>
            <w:vAlign w:val="center"/>
          </w:tcPr>
          <w:p>
            <w:r/>
            <w:r>
              <w:rPr>
                <w:rFonts w:ascii="Aptos" w:hAnsi="Aptos"/>
                <w:b w:val="0"/>
                <w:sz w:val="17"/>
              </w:rPr>
              <w:t>Stable address inside one corpus version</w:t>
            </w:r>
          </w:p>
        </w:tc>
        <w:tc>
          <w:tcPr>
            <w:tcW w:type="dxa" w:w="3312"/>
            <w:vAlign w:val="center"/>
          </w:tcPr>
          <w:p>
            <w:r/>
            <w:r>
              <w:rPr>
                <w:rFonts w:ascii="Aptos" w:hAnsi="Aptos"/>
                <w:b w:val="0"/>
                <w:sz w:val="17"/>
              </w:rPr>
              <w:t>section/107.49 or segment/0042</w:t>
            </w:r>
          </w:p>
        </w:tc>
      </w:tr>
      <w:tr>
        <w:trPr>
          <w:cantSplit/>
        </w:trPr>
        <w:tc>
          <w:tcPr>
            <w:tcW w:type="dxa" w:w="2160"/>
            <w:vAlign w:val="center"/>
          </w:tcPr>
          <w:p>
            <w:r/>
            <w:r>
              <w:rPr>
                <w:rFonts w:ascii="Aptos" w:hAnsi="Aptos"/>
                <w:b w:val="0"/>
                <w:sz w:val="17"/>
              </w:rPr>
              <w:t>CorpusSegment</w:t>
            </w:r>
          </w:p>
        </w:tc>
        <w:tc>
          <w:tcPr>
            <w:tcW w:type="dxa" w:w="4608"/>
            <w:vAlign w:val="center"/>
          </w:tcPr>
          <w:p>
            <w:r/>
            <w:r>
              <w:rPr>
                <w:rFonts w:ascii="Aptos" w:hAnsi="Aptos"/>
                <w:b w:val="0"/>
                <w:sz w:val="17"/>
              </w:rPr>
              <w:t>Address + content digest + source mapping metadata</w:t>
            </w:r>
          </w:p>
        </w:tc>
        <w:tc>
          <w:tcPr>
            <w:tcW w:type="dxa" w:w="3312"/>
            <w:vAlign w:val="center"/>
          </w:tcPr>
          <w:p>
            <w:r/>
            <w:r>
              <w:rPr>
                <w:rFonts w:ascii="Aptos" w:hAnsi="Aptos"/>
                <w:b w:val="0"/>
                <w:sz w:val="17"/>
              </w:rPr>
              <w:t>§107.49 canonical passage</w:t>
            </w:r>
          </w:p>
        </w:tc>
      </w:tr>
      <w:tr>
        <w:trPr>
          <w:cantSplit/>
        </w:trPr>
        <w:tc>
          <w:tcPr>
            <w:tcW w:type="dxa" w:w="2160"/>
            <w:vAlign w:val="center"/>
          </w:tcPr>
          <w:p>
            <w:r/>
            <w:r>
              <w:rPr>
                <w:rFonts w:ascii="Aptos" w:hAnsi="Aptos"/>
                <w:b w:val="0"/>
                <w:sz w:val="17"/>
              </w:rPr>
              <w:t>SourceSpan</w:t>
            </w:r>
          </w:p>
        </w:tc>
        <w:tc>
          <w:tcPr>
            <w:tcW w:type="dxa" w:w="4608"/>
            <w:vAlign w:val="center"/>
          </w:tcPr>
          <w:p>
            <w:r/>
            <w:r>
              <w:rPr>
                <w:rFonts w:ascii="Aptos" w:hAnsi="Aptos"/>
                <w:b w:val="0"/>
                <w:sz w:val="17"/>
              </w:rPr>
              <w:t>Optional mapping into original artifact coordinates</w:t>
            </w:r>
          </w:p>
        </w:tc>
        <w:tc>
          <w:tcPr>
            <w:tcW w:type="dxa" w:w="3312"/>
            <w:vAlign w:val="center"/>
          </w:tcPr>
          <w:p>
            <w:r/>
            <w:r>
              <w:rPr>
                <w:rFonts w:ascii="Aptos" w:hAnsi="Aptos"/>
                <w:b w:val="0"/>
                <w:sz w:val="17"/>
              </w:rPr>
              <w:t>page 12 chars 120-548</w:t>
            </w:r>
          </w:p>
        </w:tc>
      </w:tr>
      <w:tr>
        <w:trPr>
          <w:cantSplit/>
        </w:trPr>
        <w:tc>
          <w:tcPr>
            <w:tcW w:type="dxa" w:w="2160"/>
            <w:vAlign w:val="center"/>
          </w:tcPr>
          <w:p>
            <w:r/>
            <w:r>
              <w:rPr>
                <w:rFonts w:ascii="Aptos" w:hAnsi="Aptos"/>
                <w:b w:val="0"/>
                <w:sz w:val="17"/>
              </w:rPr>
              <w:t>CorpusManifest</w:t>
            </w:r>
          </w:p>
        </w:tc>
        <w:tc>
          <w:tcPr>
            <w:tcW w:type="dxa" w:w="4608"/>
            <w:vAlign w:val="center"/>
          </w:tcPr>
          <w:p>
            <w:r/>
            <w:r>
              <w:rPr>
                <w:rFonts w:ascii="Aptos" w:hAnsi="Aptos"/>
                <w:b w:val="0"/>
                <w:sz w:val="17"/>
              </w:rPr>
              <w:t>Complete declaration tying artifacts, derivations, segments, and identities together</w:t>
            </w:r>
          </w:p>
        </w:tc>
        <w:tc>
          <w:tcPr>
            <w:tcW w:type="dxa" w:w="3312"/>
            <w:vAlign w:val="center"/>
          </w:tcPr>
          <w:p>
            <w:r/>
            <w:r>
              <w:rPr>
                <w:rFonts w:ascii="Aptos" w:hAnsi="Aptos"/>
                <w:b w:val="0"/>
                <w:sz w:val="17"/>
              </w:rPr>
              <w:t>corpus.json</w:t>
            </w:r>
          </w:p>
        </w:tc>
      </w:tr>
    </w:tbl>
    <w:p/>
    <w:p>
      <w:pPr>
        <w:pStyle w:val="CodeBlock"/>
        <w:keepLines/>
        <w:spacing w:after="120"/>
      </w:pPr>
      <w:r>
        <w:rPr>
          <w:rFonts w:ascii="Liberation Mono" w:hAnsi="Liberation Mono"/>
          <w:sz w:val="17"/>
        </w:rPr>
        <w:t>CorpusManifest</w:t>
        <w:br/>
      </w:r>
      <w:r>
        <w:rPr>
          <w:rFonts w:ascii="Liberation Mono" w:hAnsi="Liberation Mono"/>
          <w:sz w:val="17"/>
        </w:rPr>
        <w:t xml:space="preserve"> ├── corpusId</w:t>
        <w:br/>
      </w:r>
      <w:r>
        <w:rPr>
          <w:rFonts w:ascii="Liberation Mono" w:hAnsi="Liberation Mono"/>
          <w:sz w:val="17"/>
        </w:rPr>
        <w:t xml:space="preserve"> ├── schemaVersion</w:t>
        <w:br/>
      </w:r>
      <w:r>
        <w:rPr>
          <w:rFonts w:ascii="Liberation Mono" w:hAnsi="Liberation Mono"/>
          <w:sz w:val="17"/>
        </w:rPr>
        <w:t xml:space="preserve"> ├── sourceArtifacts[]</w:t>
        <w:br/>
      </w:r>
      <w:r>
        <w:rPr>
          <w:rFonts w:ascii="Liberation Mono" w:hAnsi="Liberation Mono"/>
          <w:sz w:val="17"/>
        </w:rPr>
        <w:t xml:space="preserve"> │    ├── artifactId</w:t>
        <w:br/>
      </w:r>
      <w:r>
        <w:rPr>
          <w:rFonts w:ascii="Liberation Mono" w:hAnsi="Liberation Mono"/>
          <w:sz w:val="17"/>
        </w:rPr>
        <w:t xml:space="preserve"> │    ├── digest</w:t>
        <w:br/>
      </w:r>
      <w:r>
        <w:rPr>
          <w:rFonts w:ascii="Liberation Mono" w:hAnsi="Liberation Mono"/>
          <w:sz w:val="17"/>
        </w:rPr>
        <w:t xml:space="preserve"> │    └── acquisition</w:t>
        <w:br/>
      </w:r>
      <w:r>
        <w:rPr>
          <w:rFonts w:ascii="Liberation Mono" w:hAnsi="Liberation Mono"/>
          <w:sz w:val="17"/>
        </w:rPr>
        <w:t xml:space="preserve"> ├── derivations[]</w:t>
        <w:br/>
      </w:r>
      <w:r>
        <w:rPr>
          <w:rFonts w:ascii="Liberation Mono" w:hAnsi="Liberation Mono"/>
          <w:sz w:val="17"/>
        </w:rPr>
        <w:t xml:space="preserve"> │    ├── inputArtifact</w:t>
        <w:br/>
      </w:r>
      <w:r>
        <w:rPr>
          <w:rFonts w:ascii="Liberation Mono" w:hAnsi="Liberation Mono"/>
          <w:sz w:val="17"/>
        </w:rPr>
        <w:t xml:space="preserve"> │    ├── outputArtifact</w:t>
        <w:br/>
      </w:r>
      <w:r>
        <w:rPr>
          <w:rFonts w:ascii="Liberation Mono" w:hAnsi="Liberation Mono"/>
          <w:sz w:val="17"/>
        </w:rPr>
        <w:t xml:space="preserve"> │    ├── adapterId</w:t>
        <w:br/>
      </w:r>
      <w:r>
        <w:rPr>
          <w:rFonts w:ascii="Liberation Mono" w:hAnsi="Liberation Mono"/>
          <w:sz w:val="17"/>
        </w:rPr>
        <w:t xml:space="preserve"> │    ├── adapterVersion</w:t>
        <w:br/>
      </w:r>
      <w:r>
        <w:rPr>
          <w:rFonts w:ascii="Liberation Mono" w:hAnsi="Liberation Mono"/>
          <w:sz w:val="17"/>
        </w:rPr>
        <w:t xml:space="preserve"> │    └── parameters</w:t>
        <w:br/>
      </w:r>
      <w:r>
        <w:rPr>
          <w:rFonts w:ascii="Liberation Mono" w:hAnsi="Liberation Mono"/>
          <w:sz w:val="17"/>
        </w:rPr>
        <w:t xml:space="preserve"> ├── segments[]</w:t>
        <w:br/>
      </w:r>
      <w:r>
        <w:rPr>
          <w:rFonts w:ascii="Liberation Mono" w:hAnsi="Liberation Mono"/>
          <w:sz w:val="17"/>
        </w:rPr>
        <w:t xml:space="preserve"> │    ├── segmentId</w:t>
        <w:br/>
      </w:r>
      <w:r>
        <w:rPr>
          <w:rFonts w:ascii="Liberation Mono" w:hAnsi="Liberation Mono"/>
          <w:sz w:val="17"/>
        </w:rPr>
        <w:t xml:space="preserve"> │    ├── canonicalDigest</w:t>
        <w:br/>
      </w:r>
      <w:r>
        <w:rPr>
          <w:rFonts w:ascii="Liberation Mono" w:hAnsi="Liberation Mono"/>
          <w:sz w:val="17"/>
        </w:rPr>
        <w:t xml:space="preserve"> │    └── sourceSpans[]</w:t>
        <w:br/>
      </w:r>
      <w:r>
        <w:rPr>
          <w:rFonts w:ascii="Liberation Mono" w:hAnsi="Liberation Mono"/>
          <w:sz w:val="17"/>
        </w:rPr>
        <w:t xml:space="preserve"> └── manifestDigest</w:t>
        <w:br/>
      </w:r>
    </w:p>
    <w:p>
      <w:pPr>
        <w:pStyle w:val="Heading1"/>
      </w:pPr>
      <w:r>
        <w:t>7. Corpus Pipeline</w:t>
      </w:r>
    </w:p>
    <w:p>
      <w:r>
        <w:rPr>
          <w:b/>
        </w:rPr>
        <w:t xml:space="preserve">1. Acquire. </w:t>
      </w:r>
      <w:r>
        <w:t>Capture or import source bytes. Record origin and metadata. Do not mutate the acquired artifact.</w:t>
      </w:r>
    </w:p>
    <w:p>
      <w:r>
        <w:rPr>
          <w:b/>
        </w:rPr>
        <w:t xml:space="preserve">2. Fingerprint. </w:t>
      </w:r>
      <w:r>
        <w:t>Compute the original artifact digest before any transformation.</w:t>
      </w:r>
    </w:p>
    <w:p>
      <w:r>
        <w:rPr>
          <w:b/>
        </w:rPr>
        <w:t xml:space="preserve">3. Normalize. </w:t>
      </w:r>
      <w:r>
        <w:t>Produce a canonical representation through a named, versioned adapter/derivation.</w:t>
      </w:r>
    </w:p>
    <w:p>
      <w:r>
        <w:rPr>
          <w:b/>
        </w:rPr>
        <w:t xml:space="preserve">4. Segment. </w:t>
      </w:r>
      <w:r>
        <w:t>Divide canonical content into deterministic addressable units.</w:t>
      </w:r>
    </w:p>
    <w:p>
      <w:r>
        <w:rPr>
          <w:b/>
        </w:rPr>
        <w:t xml:space="preserve">5. Map. </w:t>
      </w:r>
      <w:r>
        <w:t>When possible, retain mappings from canonical units to original page/section/offset coordinates.</w:t>
      </w:r>
    </w:p>
    <w:p>
      <w:r>
        <w:rPr>
          <w:b/>
        </w:rPr>
        <w:t xml:space="preserve">6. Manifest. </w:t>
      </w:r>
      <w:r>
        <w:t>Write the complete corpus manifest and compute its identity.</w:t>
      </w:r>
    </w:p>
    <w:p>
      <w:r>
        <w:rPr>
          <w:b/>
        </w:rPr>
        <w:t xml:space="preserve">7. Verify. </w:t>
      </w:r>
      <w:r>
        <w:t>Recompute hashes, validate references, ensure every declared artifact and segment is present and consistent.</w:t>
      </w:r>
    </w:p>
    <w:p>
      <w:r>
        <w:rPr>
          <w:b/>
        </w:rPr>
        <w:t xml:space="preserve">8. Package. </w:t>
      </w:r>
      <w:r>
        <w:t>Produce a portable, immutable corpus artifact suitable for factory and engine consumption.</w:t>
      </w:r>
    </w:p>
    <w:p>
      <w:pPr>
        <w:pStyle w:val="Heading1"/>
      </w:pPr>
      <w:r>
        <w:t>8. Adapter Contract</w:t>
      </w:r>
    </w:p>
    <w:p>
      <w:r>
        <w:t>The adapter boundary is the critical extensibility point. The core should not know how a PDF, XML tree, or HTML document becomes canonical content.</w:t>
      </w:r>
    </w:p>
    <w:p>
      <w:pPr>
        <w:pStyle w:val="CodeBlock"/>
        <w:keepLines/>
        <w:spacing w:after="120"/>
      </w:pPr>
      <w:r>
        <w:rPr>
          <w:rFonts w:ascii="Liberation Mono" w:hAnsi="Liberation Mono"/>
          <w:sz w:val="17"/>
        </w:rPr>
        <w:t>source artifact</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ICorpusAdapter</w:t>
        <w:br/>
      </w:r>
      <w:r>
        <w:rPr>
          <w:rFonts w:ascii="Liberation Mono" w:hAnsi="Liberation Mono"/>
          <w:sz w:val="17"/>
        </w:rPr>
        <w:t xml:space="preserve">      │</w:t>
        <w:br/>
      </w:r>
      <w:r>
        <w:rPr>
          <w:rFonts w:ascii="Liberation Mono" w:hAnsi="Liberation Mono"/>
          <w:sz w:val="17"/>
        </w:rPr>
        <w:t xml:space="preserve">      ├── declares adapter identity/version</w:t>
        <w:br/>
      </w:r>
      <w:r>
        <w:rPr>
          <w:rFonts w:ascii="Liberation Mono" w:hAnsi="Liberation Mono"/>
          <w:sz w:val="17"/>
        </w:rPr>
        <w:t xml:space="preserve">      ├── validates supported media/source shape</w:t>
        <w:br/>
      </w:r>
      <w:r>
        <w:rPr>
          <w:rFonts w:ascii="Liberation Mono" w:hAnsi="Liberation Mono"/>
          <w:sz w:val="17"/>
        </w:rPr>
        <w:t xml:space="preserve">      ├── produces canonical artifact</w:t>
        <w:br/>
      </w:r>
      <w:r>
        <w:rPr>
          <w:rFonts w:ascii="Liberation Mono" w:hAnsi="Liberation Mono"/>
          <w:sz w:val="17"/>
        </w:rPr>
        <w:t xml:space="preserve">      ├── emits deterministic segments</w:t>
        <w:br/>
      </w:r>
      <w:r>
        <w:rPr>
          <w:rFonts w:ascii="Liberation Mono" w:hAnsi="Liberation Mono"/>
          <w:sz w:val="17"/>
        </w:rPr>
        <w:t xml:space="preserve">      └── optionally emits source mappings</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CorpusBuildResult</w:t>
        <w:br/>
      </w:r>
    </w:p>
    <w:p>
      <w:r>
        <w:t>An adapter should be required to expose whether its derivation is deterministic and whether it is lossless, lossy-but-traceable, or non-reversible. Those are metadata claims used for verification and audit; they are not semantic judgments.</w:t>
      </w:r>
    </w:p>
    <w:p>
      <w:pPr>
        <w:pStyle w:val="Heading1"/>
      </w:pPr>
      <w:r>
        <w:t>9. Identity and Compatibility</w:t>
      </w:r>
    </w:p>
    <w:p>
      <w:r>
        <w:t>rules-corpus should integrate cleanly with rules-kernel without making either repository depend on the other unnecessarily. The corpus produces identities and evidence; an engine can project those into the kernel’s SourceBaselineId/SourceLocator concepts.</w:t>
      </w:r>
    </w:p>
    <w:p>
      <w:pPr>
        <w:pStyle w:val="ListBullet"/>
      </w:pPr>
      <w:r>
        <w:t>The original artifact digest identifies exact acquired bytes.</w:t>
      </w:r>
    </w:p>
    <w:p>
      <w:pPr>
        <w:pStyle w:val="ListBullet"/>
      </w:pPr>
      <w:r>
        <w:t>The canonical artifact digest identifies exact normalized content.</w:t>
      </w:r>
    </w:p>
    <w:p>
      <w:pPr>
        <w:pStyle w:val="ListBullet"/>
      </w:pPr>
      <w:r>
        <w:t>The manifest digest identifies the complete declared corpus package.</w:t>
      </w:r>
    </w:p>
    <w:p>
      <w:pPr>
        <w:pStyle w:val="ListBullet"/>
      </w:pPr>
      <w:r>
        <w:t>Adapter identity/version is part of derivation identity.</w:t>
      </w:r>
    </w:p>
    <w:p>
      <w:pPr>
        <w:pStyle w:val="ListBullet"/>
      </w:pPr>
      <w:r>
        <w:t>Changing canonicalization behavior is a compatibility event even if the source bytes did not change.</w:t>
      </w:r>
    </w:p>
    <w:p>
      <w:pPr>
        <w:pStyle w:val="ListBullet"/>
      </w:pPr>
      <w:r>
        <w:t>Changing only acquisition metadata should not silently change canonical content identity unless the manifest contract says that metadata participates.</w:t>
      </w:r>
    </w:p>
    <w:p>
      <w:r>
        <w:rPr>
          <w:b/>
        </w:rPr>
        <w:t xml:space="preserve">Recommended rule: </w:t>
      </w:r>
      <w:r>
        <w:t>content identity and manifest identity are distinct. This prevents metadata changes from masquerading as source-content changes and prevents source-content changes from being hidden by stable labels.</w:t>
      </w:r>
    </w:p>
    <w:p>
      <w:pPr>
        <w:pStyle w:val="Heading1"/>
      </w:pPr>
      <w:r>
        <w:t>10. CLI and Developer Experience</w:t>
      </w:r>
    </w:p>
    <w:p>
      <w:r>
        <w:t>The CLI should make the component usable without writing application code. It should also be the canonical path used by CI so local and automated verification use the same behavior.</w:t>
      </w:r>
    </w:p>
    <w:p>
      <w:pPr>
        <w:pStyle w:val="CodeBlock"/>
        <w:keepLines/>
        <w:spacing w:after="120"/>
      </w:pPr>
      <w:r>
        <w:rPr>
          <w:rFonts w:ascii="Liberation Mono" w:hAnsi="Liberation Mono"/>
          <w:sz w:val="17"/>
        </w:rPr>
        <w:t>rules-corpus init &lt;directory&gt;</w:t>
        <w:br/>
      </w:r>
      <w:r>
        <w:rPr>
          <w:rFonts w:ascii="Liberation Mono" w:hAnsi="Liberation Mono"/>
          <w:sz w:val="17"/>
        </w:rPr>
        <w:t>rules-corpus import &lt;source&gt;</w:t>
        <w:br/>
      </w:r>
      <w:r>
        <w:rPr>
          <w:rFonts w:ascii="Liberation Mono" w:hAnsi="Liberation Mono"/>
          <w:sz w:val="17"/>
        </w:rPr>
        <w:t>rules-corpus build</w:t>
        <w:br/>
      </w:r>
      <w:r>
        <w:rPr>
          <w:rFonts w:ascii="Liberation Mono" w:hAnsi="Liberation Mono"/>
          <w:sz w:val="17"/>
        </w:rPr>
        <w:t>rules-corpus verify</w:t>
        <w:br/>
      </w:r>
      <w:r>
        <w:rPr>
          <w:rFonts w:ascii="Liberation Mono" w:hAnsi="Liberation Mono"/>
          <w:sz w:val="17"/>
        </w:rPr>
        <w:t>rules-corpus inspect &lt;segment-id&gt;</w:t>
        <w:br/>
      </w:r>
      <w:r>
        <w:rPr>
          <w:rFonts w:ascii="Liberation Mono" w:hAnsi="Liberation Mono"/>
          <w:sz w:val="17"/>
        </w:rPr>
        <w:t>rules-corpus diff &lt;corpus-a&gt; &lt;corpus-b&gt;</w:t>
        <w:br/>
      </w:r>
      <w:r>
        <w:rPr>
          <w:rFonts w:ascii="Liberation Mono" w:hAnsi="Liberation Mono"/>
          <w:sz w:val="17"/>
        </w:rPr>
        <w:t>rules-corpus pack &lt;output&gt;</w:t>
        <w:br/>
      </w:r>
    </w:p>
    <w:p>
      <w:pPr>
        <w:pStyle w:val="ListBullet"/>
      </w:pPr>
      <w:r>
        <w:t>Every command should be non-interactive when all required inputs are supplied.</w:t>
      </w:r>
    </w:p>
    <w:p>
      <w:pPr>
        <w:pStyle w:val="ListBullet"/>
      </w:pPr>
      <w:r>
        <w:t>Machine-readable JSON output should be available for automation.</w:t>
      </w:r>
    </w:p>
    <w:p>
      <w:pPr>
        <w:pStyle w:val="ListBullet"/>
      </w:pPr>
      <w:r>
        <w:t>Verification must return meaningful exit codes.</w:t>
      </w:r>
    </w:p>
    <w:p>
      <w:pPr>
        <w:pStyle w:val="ListBullet"/>
      </w:pPr>
      <w:r>
        <w:t>Builds should be resumable by artifact identity rather than relying on mutable temporary state.</w:t>
      </w:r>
    </w:p>
    <w:p>
      <w:pPr>
        <w:pStyle w:val="ListBullet"/>
      </w:pPr>
      <w:r>
        <w:t>A clean clone plus retained source artifacts must be sufficient to rebuild deterministic derivations.</w:t>
      </w:r>
    </w:p>
    <w:p>
      <w:pPr>
        <w:pStyle w:val="Heading1"/>
      </w:pPr>
      <w:r>
        <w:t>11. Repository Structure</w:t>
      </w:r>
    </w:p>
    <w:p>
      <w:pPr>
        <w:pStyle w:val="CodeBlock"/>
        <w:keepLines/>
        <w:spacing w:after="120"/>
      </w:pPr>
      <w:r>
        <w:rPr>
          <w:rFonts w:ascii="Liberation Mono" w:hAnsi="Liberation Mono"/>
          <w:sz w:val="17"/>
        </w:rPr>
        <w:t>rules-corpus/</w:t>
        <w:br/>
      </w:r>
      <w:r>
        <w:rPr>
          <w:rFonts w:ascii="Liberation Mono" w:hAnsi="Liberation Mono"/>
          <w:sz w:val="17"/>
        </w:rPr>
        <w:t>├── src/</w:t>
        <w:br/>
      </w:r>
      <w:r>
        <w:rPr>
          <w:rFonts w:ascii="Liberation Mono" w:hAnsi="Liberation Mono"/>
          <w:sz w:val="17"/>
        </w:rPr>
        <w:t>│   ├── RulesCorpus/</w:t>
        <w:br/>
      </w:r>
      <w:r>
        <w:rPr>
          <w:rFonts w:ascii="Liberation Mono" w:hAnsi="Liberation Mono"/>
          <w:sz w:val="17"/>
        </w:rPr>
        <w:t>│   ├── RulesCorpus.Cli/</w:t>
        <w:br/>
      </w:r>
      <w:r>
        <w:rPr>
          <w:rFonts w:ascii="Liberation Mono" w:hAnsi="Liberation Mono"/>
          <w:sz w:val="17"/>
        </w:rPr>
        <w:t>│   └── [adapter packages only as justified]</w:t>
        <w:br/>
      </w:r>
      <w:r>
        <w:rPr>
          <w:rFonts w:ascii="Liberation Mono" w:hAnsi="Liberation Mono"/>
          <w:sz w:val="17"/>
        </w:rPr>
        <w:t>├── tests/</w:t>
        <w:br/>
      </w:r>
      <w:r>
        <w:rPr>
          <w:rFonts w:ascii="Liberation Mono" w:hAnsi="Liberation Mono"/>
          <w:sz w:val="17"/>
        </w:rPr>
        <w:t>│   ├── RulesCorpus.Tests/</w:t>
        <w:br/>
      </w:r>
      <w:r>
        <w:rPr>
          <w:rFonts w:ascii="Liberation Mono" w:hAnsi="Liberation Mono"/>
          <w:sz w:val="17"/>
        </w:rPr>
        <w:t>│   ├── RulesCorpus.Cli.Tests/</w:t>
        <w:br/>
      </w:r>
      <w:r>
        <w:rPr>
          <w:rFonts w:ascii="Liberation Mono" w:hAnsi="Liberation Mono"/>
          <w:sz w:val="17"/>
        </w:rPr>
        <w:t>│   └── RulesCorpus.Testing/</w:t>
        <w:br/>
      </w:r>
      <w:r>
        <w:rPr>
          <w:rFonts w:ascii="Liberation Mono" w:hAnsi="Liberation Mono"/>
          <w:sz w:val="17"/>
        </w:rPr>
        <w:t>├── probes/</w:t>
        <w:br/>
      </w:r>
      <w:r>
        <w:rPr>
          <w:rFonts w:ascii="Liberation Mono" w:hAnsi="Liberation Mono"/>
          <w:sz w:val="17"/>
        </w:rPr>
        <w:t>│   └── real-format calibration fixtures</w:t>
        <w:br/>
      </w:r>
      <w:r>
        <w:rPr>
          <w:rFonts w:ascii="Liberation Mono" w:hAnsi="Liberation Mono"/>
          <w:sz w:val="17"/>
        </w:rPr>
        <w:t>├── docs/</w:t>
        <w:br/>
      </w:r>
      <w:r>
        <w:rPr>
          <w:rFonts w:ascii="Liberation Mono" w:hAnsi="Liberation Mono"/>
          <w:sz w:val="17"/>
        </w:rPr>
        <w:t>│   ├── architecture.md</w:t>
        <w:br/>
      </w:r>
      <w:r>
        <w:rPr>
          <w:rFonts w:ascii="Liberation Mono" w:hAnsi="Liberation Mono"/>
          <w:sz w:val="17"/>
        </w:rPr>
        <w:t>│   ├── corpus-format.md</w:t>
        <w:br/>
      </w:r>
      <w:r>
        <w:rPr>
          <w:rFonts w:ascii="Liberation Mono" w:hAnsi="Liberation Mono"/>
          <w:sz w:val="17"/>
        </w:rPr>
        <w:t>│   ├── adapter-contract.md</w:t>
        <w:br/>
      </w:r>
      <w:r>
        <w:rPr>
          <w:rFonts w:ascii="Liberation Mono" w:hAnsi="Liberation Mono"/>
          <w:sz w:val="17"/>
        </w:rPr>
        <w:t>│   └── decisions/</w:t>
        <w:br/>
      </w:r>
      <w:r>
        <w:rPr>
          <w:rFonts w:ascii="Liberation Mono" w:hAnsi="Liberation Mono"/>
          <w:sz w:val="17"/>
        </w:rPr>
        <w:t>├── tools/</w:t>
        <w:br/>
      </w:r>
      <w:r>
        <w:rPr>
          <w:rFonts w:ascii="Liberation Mono" w:hAnsi="Liberation Mono"/>
          <w:sz w:val="17"/>
        </w:rPr>
        <w:t>│   └── release / invariant checks</w:t>
        <w:br/>
      </w:r>
      <w:r>
        <w:rPr>
          <w:rFonts w:ascii="Liberation Mono" w:hAnsi="Liberation Mono"/>
          <w:sz w:val="17"/>
        </w:rPr>
        <w:t>└── scripts/</w:t>
        <w:br/>
      </w:r>
      <w:r>
        <w:rPr>
          <w:rFonts w:ascii="Liberation Mono" w:hAnsi="Liberation Mono"/>
          <w:sz w:val="17"/>
        </w:rPr>
        <w:t xml:space="preserve">    └── validate.sh</w:t>
        <w:br/>
      </w:r>
    </w:p>
    <w:p>
      <w:r>
        <w:t>Keep fixture/source files intentionally small unless a test specifically requires a full real artifact. Large or licensed corpora belong in consumer repositories or controlled calibration storage, not in the generic component.</w:t>
      </w:r>
    </w:p>
    <w:p>
      <w:pPr>
        <w:pStyle w:val="Heading1"/>
      </w:pPr>
      <w:r>
        <w:t>12. Required Invariants and Quality Gates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448"/>
            <w:vAlign w:val="center"/>
            <w:shd w:fill="D9EAF7"/>
          </w:tcPr>
          <w:p>
            <w:r/>
            <w:r>
              <w:rPr>
                <w:rFonts w:ascii="Aptos" w:hAnsi="Aptos"/>
                <w:b/>
                <w:sz w:val="18"/>
              </w:rPr>
              <w:t>Invariant</w:t>
            </w:r>
          </w:p>
        </w:tc>
        <w:tc>
          <w:tcPr>
            <w:tcW w:type="dxa" w:w="7632"/>
            <w:vAlign w:val="center"/>
            <w:shd w:fill="D9EAF7"/>
          </w:tcPr>
          <w:p>
            <w:r/>
            <w:r>
              <w:rPr>
                <w:rFonts w:ascii="Aptos" w:hAnsi="Aptos"/>
                <w:b/>
                <w:sz w:val="18"/>
              </w:rPr>
              <w:t>What must be true</w:t>
            </w:r>
          </w:p>
        </w:tc>
      </w:tr>
      <w:tr>
        <w:trPr>
          <w:cantSplit/>
        </w:trPr>
        <w:tc>
          <w:tcPr>
            <w:tcW w:type="dxa" w:w="2448"/>
            <w:vAlign w:val="center"/>
          </w:tcPr>
          <w:p>
            <w:r/>
            <w:r>
              <w:rPr>
                <w:rFonts w:ascii="Aptos" w:hAnsi="Aptos"/>
                <w:b w:val="0"/>
                <w:sz w:val="17"/>
              </w:rPr>
              <w:t>Core neutrality</w:t>
            </w:r>
          </w:p>
        </w:tc>
        <w:tc>
          <w:tcPr>
            <w:tcW w:type="dxa" w:w="7632"/>
            <w:vAlign w:val="center"/>
          </w:tcPr>
          <w:p>
            <w:r/>
            <w:r>
              <w:rPr>
                <w:rFonts w:ascii="Aptos" w:hAnsi="Aptos"/>
                <w:b w:val="0"/>
                <w:sz w:val="17"/>
              </w:rPr>
              <w:t>Core source contains no domain terminology or domain-specific parsing.</w:t>
            </w:r>
          </w:p>
        </w:tc>
      </w:tr>
      <w:tr>
        <w:trPr>
          <w:cantSplit/>
        </w:trPr>
        <w:tc>
          <w:tcPr>
            <w:tcW w:type="dxa" w:w="2448"/>
            <w:vAlign w:val="center"/>
          </w:tcPr>
          <w:p>
            <w:r/>
            <w:r>
              <w:rPr>
                <w:rFonts w:ascii="Aptos" w:hAnsi="Aptos"/>
                <w:b w:val="0"/>
                <w:sz w:val="17"/>
              </w:rPr>
              <w:t>Immutability</w:t>
            </w:r>
          </w:p>
        </w:tc>
        <w:tc>
          <w:tcPr>
            <w:tcW w:type="dxa" w:w="7632"/>
            <w:vAlign w:val="center"/>
          </w:tcPr>
          <w:p>
            <w:r/>
            <w:r>
              <w:rPr>
                <w:rFonts w:ascii="Aptos" w:hAnsi="Aptos"/>
                <w:b w:val="0"/>
                <w:sz w:val="17"/>
              </w:rPr>
              <w:t>An acquired artifact is never modified in place.</w:t>
            </w:r>
          </w:p>
        </w:tc>
      </w:tr>
      <w:tr>
        <w:trPr>
          <w:cantSplit/>
        </w:trPr>
        <w:tc>
          <w:tcPr>
            <w:tcW w:type="dxa" w:w="2448"/>
            <w:vAlign w:val="center"/>
          </w:tcPr>
          <w:p>
            <w:r/>
            <w:r>
              <w:rPr>
                <w:rFonts w:ascii="Aptos" w:hAnsi="Aptos"/>
                <w:b w:val="0"/>
                <w:sz w:val="17"/>
              </w:rPr>
              <w:t>Digest integrity</w:t>
            </w:r>
          </w:p>
        </w:tc>
        <w:tc>
          <w:tcPr>
            <w:tcW w:type="dxa" w:w="7632"/>
            <w:vAlign w:val="center"/>
          </w:tcPr>
          <w:p>
            <w:r/>
            <w:r>
              <w:rPr>
                <w:rFonts w:ascii="Aptos" w:hAnsi="Aptos"/>
                <w:b w:val="0"/>
                <w:sz w:val="17"/>
              </w:rPr>
              <w:t>Every manifest-referenced artifact and segment verifies against its declared digest.</w:t>
            </w:r>
          </w:p>
        </w:tc>
      </w:tr>
      <w:tr>
        <w:trPr>
          <w:cantSplit/>
        </w:trPr>
        <w:tc>
          <w:tcPr>
            <w:tcW w:type="dxa" w:w="2448"/>
            <w:vAlign w:val="center"/>
          </w:tcPr>
          <w:p>
            <w:r/>
            <w:r>
              <w:rPr>
                <w:rFonts w:ascii="Aptos" w:hAnsi="Aptos"/>
                <w:b w:val="0"/>
                <w:sz w:val="17"/>
              </w:rPr>
              <w:t>Deterministic build</w:t>
            </w:r>
          </w:p>
        </w:tc>
        <w:tc>
          <w:tcPr>
            <w:tcW w:type="dxa" w:w="7632"/>
            <w:vAlign w:val="center"/>
          </w:tcPr>
          <w:p>
            <w:r/>
            <w:r>
              <w:rPr>
                <w:rFonts w:ascii="Aptos" w:hAnsi="Aptos"/>
                <w:b w:val="0"/>
                <w:sz w:val="17"/>
              </w:rPr>
              <w:t>A deterministic adapter produces byte-identical canonical output from identical inputs/configuration.</w:t>
            </w:r>
          </w:p>
        </w:tc>
      </w:tr>
      <w:tr>
        <w:trPr>
          <w:cantSplit/>
        </w:trPr>
        <w:tc>
          <w:tcPr>
            <w:tcW w:type="dxa" w:w="2448"/>
            <w:vAlign w:val="center"/>
          </w:tcPr>
          <w:p>
            <w:r/>
            <w:r>
              <w:rPr>
                <w:rFonts w:ascii="Aptos" w:hAnsi="Aptos"/>
                <w:b w:val="0"/>
                <w:sz w:val="17"/>
              </w:rPr>
              <w:t>Declared derivation</w:t>
            </w:r>
          </w:p>
        </w:tc>
        <w:tc>
          <w:tcPr>
            <w:tcW w:type="dxa" w:w="7632"/>
            <w:vAlign w:val="center"/>
          </w:tcPr>
          <w:p>
            <w:r/>
            <w:r>
              <w:rPr>
                <w:rFonts w:ascii="Aptos" w:hAnsi="Aptos"/>
                <w:b w:val="0"/>
                <w:sz w:val="17"/>
              </w:rPr>
              <w:t>No canonical artifact exists without a recorded derivation chain to source evidence.</w:t>
            </w:r>
          </w:p>
        </w:tc>
      </w:tr>
      <w:tr>
        <w:trPr>
          <w:cantSplit/>
        </w:trPr>
        <w:tc>
          <w:tcPr>
            <w:tcW w:type="dxa" w:w="2448"/>
            <w:vAlign w:val="center"/>
          </w:tcPr>
          <w:p>
            <w:r/>
            <w:r>
              <w:rPr>
                <w:rFonts w:ascii="Aptos" w:hAnsi="Aptos"/>
                <w:b w:val="0"/>
                <w:sz w:val="17"/>
              </w:rPr>
              <w:t>Address integrity</w:t>
            </w:r>
          </w:p>
        </w:tc>
        <w:tc>
          <w:tcPr>
            <w:tcW w:type="dxa" w:w="7632"/>
            <w:vAlign w:val="center"/>
          </w:tcPr>
          <w:p>
            <w:r/>
            <w:r>
              <w:rPr>
                <w:rFonts w:ascii="Aptos" w:hAnsi="Aptos"/>
                <w:b w:val="0"/>
                <w:sz w:val="17"/>
              </w:rPr>
              <w:t>Every segment identifier is unique within a manifest and resolves to exactly one canonical segment.</w:t>
            </w:r>
          </w:p>
        </w:tc>
      </w:tr>
      <w:tr>
        <w:trPr>
          <w:cantSplit/>
        </w:trPr>
        <w:tc>
          <w:tcPr>
            <w:tcW w:type="dxa" w:w="2448"/>
            <w:vAlign w:val="center"/>
          </w:tcPr>
          <w:p>
            <w:r/>
            <w:r>
              <w:rPr>
                <w:rFonts w:ascii="Aptos" w:hAnsi="Aptos"/>
                <w:b w:val="0"/>
                <w:sz w:val="17"/>
              </w:rPr>
              <w:t>Mapping integrity</w:t>
            </w:r>
          </w:p>
        </w:tc>
        <w:tc>
          <w:tcPr>
            <w:tcW w:type="dxa" w:w="7632"/>
            <w:vAlign w:val="center"/>
          </w:tcPr>
          <w:p>
            <w:r/>
            <w:r>
              <w:rPr>
                <w:rFonts w:ascii="Aptos" w:hAnsi="Aptos"/>
                <w:b w:val="0"/>
                <w:sz w:val="17"/>
              </w:rPr>
              <w:t>Every declared source span refers to an existing source artifact and valid coordinate representation.</w:t>
            </w:r>
          </w:p>
        </w:tc>
      </w:tr>
      <w:tr>
        <w:trPr>
          <w:cantSplit/>
        </w:trPr>
        <w:tc>
          <w:tcPr>
            <w:tcW w:type="dxa" w:w="2448"/>
            <w:vAlign w:val="center"/>
          </w:tcPr>
          <w:p>
            <w:r/>
            <w:r>
              <w:rPr>
                <w:rFonts w:ascii="Aptos" w:hAnsi="Aptos"/>
                <w:b w:val="0"/>
                <w:sz w:val="17"/>
              </w:rPr>
              <w:t>Offline verification</w:t>
            </w:r>
          </w:p>
        </w:tc>
        <w:tc>
          <w:tcPr>
            <w:tcW w:type="dxa" w:w="7632"/>
            <w:vAlign w:val="center"/>
          </w:tcPr>
          <w:p>
            <w:r/>
            <w:r>
              <w:rPr>
                <w:rFonts w:ascii="Aptos" w:hAnsi="Aptos"/>
                <w:b w:val="0"/>
                <w:sz w:val="17"/>
              </w:rPr>
              <w:t>A packaged corpus can be verified without network access.</w:t>
            </w:r>
          </w:p>
        </w:tc>
      </w:tr>
      <w:tr>
        <w:trPr>
          <w:cantSplit/>
        </w:trPr>
        <w:tc>
          <w:tcPr>
            <w:tcW w:type="dxa" w:w="2448"/>
            <w:vAlign w:val="center"/>
          </w:tcPr>
          <w:p>
            <w:r/>
            <w:r>
              <w:rPr>
                <w:rFonts w:ascii="Aptos" w:hAnsi="Aptos"/>
                <w:b w:val="0"/>
                <w:sz w:val="17"/>
              </w:rPr>
              <w:t>Public API discipline</w:t>
            </w:r>
          </w:p>
        </w:tc>
        <w:tc>
          <w:tcPr>
            <w:tcW w:type="dxa" w:w="7632"/>
            <w:vAlign w:val="center"/>
          </w:tcPr>
          <w:p>
            <w:r/>
            <w:r>
              <w:rPr>
                <w:rFonts w:ascii="Aptos" w:hAnsi="Aptos"/>
                <w:b w:val="0"/>
                <w:sz w:val="17"/>
              </w:rPr>
              <w:t>Public surface changes are explicitly reviewed and baseline-controlled before 1.0/1.x release.</w:t>
            </w:r>
          </w:p>
        </w:tc>
      </w:tr>
      <w:tr>
        <w:trPr>
          <w:cantSplit/>
        </w:trPr>
        <w:tc>
          <w:tcPr>
            <w:tcW w:type="dxa" w:w="2448"/>
            <w:vAlign w:val="center"/>
          </w:tcPr>
          <w:p>
            <w:r/>
            <w:r>
              <w:rPr>
                <w:rFonts w:ascii="Aptos" w:hAnsi="Aptos"/>
                <w:b w:val="0"/>
                <w:sz w:val="17"/>
              </w:rPr>
              <w:t>Documentation truth</w:t>
            </w:r>
          </w:p>
        </w:tc>
        <w:tc>
          <w:tcPr>
            <w:tcW w:type="dxa" w:w="7632"/>
            <w:vAlign w:val="center"/>
          </w:tcPr>
          <w:p>
            <w:r/>
            <w:r>
              <w:rPr>
                <w:rFonts w:ascii="Aptos" w:hAnsi="Aptos"/>
                <w:b w:val="0"/>
                <w:sz w:val="17"/>
              </w:rPr>
              <w:t>Examples compile/run or are generated from tested examples; docs do not describe nonexistent behavior.</w:t>
            </w:r>
          </w:p>
        </w:tc>
      </w:tr>
    </w:tbl>
    <w:p/>
    <w:p>
      <w:pPr>
        <w:pStyle w:val="Heading1"/>
      </w:pPr>
      <w:r>
        <w:t>13. Security and Trust Model</w:t>
      </w:r>
    </w:p>
    <w:p>
      <w:r>
        <w:t>rules-corpus is not a sandbox and must treat imported content as untrusted input. Its trust model should be narrow and explicit.</w:t>
      </w:r>
    </w:p>
    <w:p>
      <w:pPr>
        <w:pStyle w:val="ListBullet"/>
      </w:pPr>
      <w:r>
        <w:t>Never execute scripts, macros, embedded programs, or active document content as part of ingestion.</w:t>
      </w:r>
    </w:p>
    <w:p>
      <w:pPr>
        <w:pStyle w:val="ListBullet"/>
      </w:pPr>
      <w:r>
        <w:t>Limit decompression, recursion, document size, segment count, and parser resource consumption where practical.</w:t>
      </w:r>
    </w:p>
    <w:p>
      <w:pPr>
        <w:pStyle w:val="ListBullet"/>
      </w:pPr>
      <w:r>
        <w:t>Do not follow network references during an offline build unless explicitly configured as acquisition inputs.</w:t>
      </w:r>
    </w:p>
    <w:p>
      <w:pPr>
        <w:pStyle w:val="ListBullet"/>
      </w:pPr>
      <w:r>
        <w:t>Record parser/adapter versions so parser behavior changes are auditable.</w:t>
      </w:r>
    </w:p>
    <w:p>
      <w:pPr>
        <w:pStyle w:val="ListBullet"/>
      </w:pPr>
      <w:r>
        <w:t>A cryptographic digest proves sameness, not authority, correctness, legality, or safety.</w:t>
      </w:r>
    </w:p>
    <w:p>
      <w:pPr>
        <w:pStyle w:val="ListBullet"/>
      </w:pPr>
      <w:r>
        <w:t>Provenance metadata is evidence supplied to consumers; rules-corpus must not claim independent legal or factual authority.</w:t>
      </w:r>
    </w:p>
    <w:p>
      <w:pPr>
        <w:pStyle w:val="Heading1"/>
      </w:pPr>
      <w:r>
        <w:t>14. Development Plan</w:t>
      </w:r>
    </w:p>
    <w:p>
      <w:r>
        <w:t>Development should be consumer-driven and milestone-based. The goal is a small 1.0, not maximal format coverage.</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088"/>
            <w:vAlign w:val="center"/>
            <w:shd w:fill="D9EAF7"/>
          </w:tcPr>
          <w:p>
            <w:r/>
            <w:r>
              <w:rPr>
                <w:rFonts w:ascii="Aptos" w:hAnsi="Aptos"/>
                <w:b/>
                <w:sz w:val="18"/>
              </w:rPr>
              <w:t>Milestone</w:t>
            </w:r>
          </w:p>
        </w:tc>
        <w:tc>
          <w:tcPr>
            <w:tcW w:type="dxa" w:w="5328"/>
            <w:vAlign w:val="center"/>
            <w:shd w:fill="D9EAF7"/>
          </w:tcPr>
          <w:p>
            <w:r/>
            <w:r>
              <w:rPr>
                <w:rFonts w:ascii="Aptos" w:hAnsi="Aptos"/>
                <w:b/>
                <w:sz w:val="18"/>
              </w:rPr>
              <w:t>Work</w:t>
            </w:r>
          </w:p>
        </w:tc>
        <w:tc>
          <w:tcPr>
            <w:tcW w:type="dxa" w:w="3024"/>
            <w:vAlign w:val="center"/>
            <w:shd w:fill="D9EAF7"/>
          </w:tcPr>
          <w:p>
            <w:r/>
            <w:r>
              <w:rPr>
                <w:rFonts w:ascii="Aptos" w:hAnsi="Aptos"/>
                <w:b/>
                <w:sz w:val="18"/>
              </w:rPr>
              <w:t>Exit criterion</w:t>
            </w:r>
          </w:p>
        </w:tc>
      </w:tr>
      <w:tr>
        <w:trPr>
          <w:cantSplit/>
        </w:trPr>
        <w:tc>
          <w:tcPr>
            <w:tcW w:type="dxa" w:w="2088"/>
            <w:vAlign w:val="center"/>
          </w:tcPr>
          <w:p>
            <w:r/>
            <w:r>
              <w:rPr>
                <w:rFonts w:ascii="Aptos" w:hAnsi="Aptos"/>
                <w:b w:val="0"/>
                <w:sz w:val="17"/>
              </w:rPr>
              <w:t>M0 — Charter and boundary freeze</w:t>
            </w:r>
          </w:p>
        </w:tc>
        <w:tc>
          <w:tcPr>
            <w:tcW w:type="dxa" w:w="5328"/>
            <w:vAlign w:val="center"/>
          </w:tcPr>
          <w:p>
            <w:r/>
            <w:r>
              <w:rPr>
                <w:rFonts w:ascii="Aptos" w:hAnsi="Aptos"/>
                <w:b w:val="0"/>
                <w:sz w:val="17"/>
              </w:rPr>
              <w:t>Define scope/non-goals, naming, package graph, corpus-manifest goals, and two initial calibration consumers. No production code beyond spikes.</w:t>
            </w:r>
          </w:p>
        </w:tc>
        <w:tc>
          <w:tcPr>
            <w:tcW w:type="dxa" w:w="3024"/>
            <w:vAlign w:val="center"/>
          </w:tcPr>
          <w:p>
            <w:r/>
            <w:r>
              <w:rPr>
                <w:rFonts w:ascii="Aptos" w:hAnsi="Aptos"/>
                <w:b w:val="0"/>
                <w:sz w:val="17"/>
              </w:rPr>
              <w:t>Architecture document approved; no unresolved question about which repository owns identity, acquisition, normalization, segmentation, or interpretation.</w:t>
            </w:r>
          </w:p>
        </w:tc>
      </w:tr>
      <w:tr>
        <w:trPr>
          <w:cantSplit/>
        </w:trPr>
        <w:tc>
          <w:tcPr>
            <w:tcW w:type="dxa" w:w="2088"/>
            <w:vAlign w:val="center"/>
          </w:tcPr>
          <w:p>
            <w:r/>
            <w:r>
              <w:rPr>
                <w:rFonts w:ascii="Aptos" w:hAnsi="Aptos"/>
                <w:b w:val="0"/>
                <w:sz w:val="17"/>
              </w:rPr>
              <w:t>M1 — Core identity and manifest model</w:t>
            </w:r>
          </w:p>
        </w:tc>
        <w:tc>
          <w:tcPr>
            <w:tcW w:type="dxa" w:w="5328"/>
            <w:vAlign w:val="center"/>
          </w:tcPr>
          <w:p>
            <w:r/>
            <w:r>
              <w:rPr>
                <w:rFonts w:ascii="Aptos" w:hAnsi="Aptos"/>
                <w:b w:val="0"/>
                <w:sz w:val="17"/>
              </w:rPr>
              <w:t>Implement immutable value objects, digests, artifact records, derivation records, segment identities, manifest serialization, and strict validation.</w:t>
            </w:r>
          </w:p>
        </w:tc>
        <w:tc>
          <w:tcPr>
            <w:tcW w:type="dxa" w:w="3024"/>
            <w:vAlign w:val="center"/>
          </w:tcPr>
          <w:p>
            <w:r/>
            <w:r>
              <w:rPr>
                <w:rFonts w:ascii="Aptos" w:hAnsi="Aptos"/>
                <w:b w:val="0"/>
                <w:sz w:val="17"/>
              </w:rPr>
              <w:t>Round-trip manifest tests; malformed references fail; digests verified; no adapter dependency in core.</w:t>
            </w:r>
          </w:p>
        </w:tc>
      </w:tr>
      <w:tr>
        <w:trPr>
          <w:cantSplit/>
        </w:trPr>
        <w:tc>
          <w:tcPr>
            <w:tcW w:type="dxa" w:w="2088"/>
            <w:vAlign w:val="center"/>
          </w:tcPr>
          <w:p>
            <w:r/>
            <w:r>
              <w:rPr>
                <w:rFonts w:ascii="Aptos" w:hAnsi="Aptos"/>
                <w:b w:val="0"/>
                <w:sz w:val="17"/>
              </w:rPr>
              <w:t>M2 — Deterministic text adapter</w:t>
            </w:r>
          </w:p>
        </w:tc>
        <w:tc>
          <w:tcPr>
            <w:tcW w:type="dxa" w:w="5328"/>
            <w:vAlign w:val="center"/>
          </w:tcPr>
          <w:p>
            <w:r/>
            <w:r>
              <w:rPr>
                <w:rFonts w:ascii="Aptos" w:hAnsi="Aptos"/>
                <w:b w:val="0"/>
                <w:sz w:val="17"/>
              </w:rPr>
              <w:t>Implement the smallest fully deterministic adapter over UTF-8 text and explicit segmentation configuration.</w:t>
            </w:r>
          </w:p>
        </w:tc>
        <w:tc>
          <w:tcPr>
            <w:tcW w:type="dxa" w:w="3024"/>
            <w:vAlign w:val="center"/>
          </w:tcPr>
          <w:p>
            <w:r/>
            <w:r>
              <w:rPr>
                <w:rFonts w:ascii="Aptos" w:hAnsi="Aptos"/>
                <w:b w:val="0"/>
                <w:sz w:val="17"/>
              </w:rPr>
              <w:t>Repeated builds are byte-identical; segment IDs stable; source/canonical digests verified; CLI can build and verify.</w:t>
            </w:r>
          </w:p>
        </w:tc>
      </w:tr>
      <w:tr>
        <w:trPr>
          <w:cantSplit/>
        </w:trPr>
        <w:tc>
          <w:tcPr>
            <w:tcW w:type="dxa" w:w="2088"/>
            <w:vAlign w:val="center"/>
          </w:tcPr>
          <w:p>
            <w:r/>
            <w:r>
              <w:rPr>
                <w:rFonts w:ascii="Aptos" w:hAnsi="Aptos"/>
                <w:b w:val="0"/>
                <w:sz w:val="17"/>
              </w:rPr>
              <w:t>M3 — CLI and packaging</w:t>
            </w:r>
          </w:p>
        </w:tc>
        <w:tc>
          <w:tcPr>
            <w:tcW w:type="dxa" w:w="5328"/>
            <w:vAlign w:val="center"/>
          </w:tcPr>
          <w:p>
            <w:r/>
            <w:r>
              <w:rPr>
                <w:rFonts w:ascii="Aptos" w:hAnsi="Aptos"/>
                <w:b w:val="0"/>
                <w:sz w:val="17"/>
              </w:rPr>
              <w:t>Implement init/import/build/verify/inspect/diff/pack around the core.</w:t>
            </w:r>
          </w:p>
        </w:tc>
        <w:tc>
          <w:tcPr>
            <w:tcW w:type="dxa" w:w="3024"/>
            <w:vAlign w:val="center"/>
          </w:tcPr>
          <w:p>
            <w:r/>
            <w:r>
              <w:rPr>
                <w:rFonts w:ascii="Aptos" w:hAnsi="Aptos"/>
                <w:b w:val="0"/>
                <w:sz w:val="17"/>
              </w:rPr>
              <w:t>A fresh checkout can materialize and verify a sample corpus with one documented command path.</w:t>
            </w:r>
          </w:p>
        </w:tc>
      </w:tr>
      <w:tr>
        <w:trPr>
          <w:cantSplit/>
        </w:trPr>
        <w:tc>
          <w:tcPr>
            <w:tcW w:type="dxa" w:w="2088"/>
            <w:vAlign w:val="center"/>
          </w:tcPr>
          <w:p>
            <w:r/>
            <w:r>
              <w:rPr>
                <w:rFonts w:ascii="Aptos" w:hAnsi="Aptos"/>
                <w:b w:val="0"/>
                <w:sz w:val="17"/>
              </w:rPr>
              <w:t>M4 — Real consumer calibration</w:t>
            </w:r>
          </w:p>
        </w:tc>
        <w:tc>
          <w:tcPr>
            <w:tcW w:type="dxa" w:w="5328"/>
            <w:vAlign w:val="center"/>
          </w:tcPr>
          <w:p>
            <w:r/>
            <w:r>
              <w:rPr>
                <w:rFonts w:ascii="Aptos" w:hAnsi="Aptos"/>
                <w:b w:val="0"/>
                <w:sz w:val="17"/>
              </w:rPr>
              <w:t>Integrate at least two materially different consumers, preferably one regulatory and one game/manual corpus.</w:t>
            </w:r>
          </w:p>
        </w:tc>
        <w:tc>
          <w:tcPr>
            <w:tcW w:type="dxa" w:w="3024"/>
            <w:vAlign w:val="center"/>
          </w:tcPr>
          <w:p>
            <w:r/>
            <w:r>
              <w:rPr>
                <w:rFonts w:ascii="Aptos" w:hAnsi="Aptos"/>
                <w:b w:val="0"/>
                <w:sz w:val="17"/>
              </w:rPr>
              <w:t>Both consumers eliminate local duplicate corpus infrastructure without domain concepts leaking into rules-corpus.</w:t>
            </w:r>
          </w:p>
        </w:tc>
      </w:tr>
      <w:tr>
        <w:trPr>
          <w:cantSplit/>
        </w:trPr>
        <w:tc>
          <w:tcPr>
            <w:tcW w:type="dxa" w:w="2088"/>
            <w:vAlign w:val="center"/>
          </w:tcPr>
          <w:p>
            <w:r/>
            <w:r>
              <w:rPr>
                <w:rFonts w:ascii="Aptos" w:hAnsi="Aptos"/>
                <w:b w:val="0"/>
                <w:sz w:val="17"/>
              </w:rPr>
              <w:t>M5 — Second real format adapter</w:t>
            </w:r>
          </w:p>
        </w:tc>
        <w:tc>
          <w:tcPr>
            <w:tcW w:type="dxa" w:w="5328"/>
            <w:vAlign w:val="center"/>
          </w:tcPr>
          <w:p>
            <w:r/>
            <w:r>
              <w:rPr>
                <w:rFonts w:ascii="Aptos" w:hAnsi="Aptos"/>
                <w:b w:val="0"/>
                <w:sz w:val="17"/>
              </w:rPr>
              <w:t>Add XML, HTML, or PDF only based on the highest-value real consumer need.</w:t>
            </w:r>
          </w:p>
        </w:tc>
        <w:tc>
          <w:tcPr>
            <w:tcW w:type="dxa" w:w="3024"/>
            <w:vAlign w:val="center"/>
          </w:tcPr>
          <w:p>
            <w:r/>
            <w:r>
              <w:rPr>
                <w:rFonts w:ascii="Aptos" w:hAnsi="Aptos"/>
                <w:b w:val="0"/>
                <w:sz w:val="17"/>
              </w:rPr>
              <w:t>Adapter records extractor/version and deterministic limitations; consumer calibration passes.</w:t>
            </w:r>
          </w:p>
        </w:tc>
      </w:tr>
      <w:tr>
        <w:trPr>
          <w:cantSplit/>
        </w:trPr>
        <w:tc>
          <w:tcPr>
            <w:tcW w:type="dxa" w:w="2088"/>
            <w:vAlign w:val="center"/>
          </w:tcPr>
          <w:p>
            <w:r/>
            <w:r>
              <w:rPr>
                <w:rFonts w:ascii="Aptos" w:hAnsi="Aptos"/>
                <w:b w:val="0"/>
                <w:sz w:val="17"/>
              </w:rPr>
              <w:t>M6 — Pre-1.0 surface review</w:t>
            </w:r>
          </w:p>
        </w:tc>
        <w:tc>
          <w:tcPr>
            <w:tcW w:type="dxa" w:w="5328"/>
            <w:vAlign w:val="center"/>
          </w:tcPr>
          <w:p>
            <w:r/>
            <w:r>
              <w:rPr>
                <w:rFonts w:ascii="Aptos" w:hAnsi="Aptos"/>
                <w:b w:val="0"/>
                <w:sz w:val="17"/>
              </w:rPr>
              <w:t>Remove speculative APIs, rename unclear concepts, document compatibility promises, freeze manifest schema behavior, and run external calibration.</w:t>
            </w:r>
          </w:p>
        </w:tc>
        <w:tc>
          <w:tcPr>
            <w:tcW w:type="dxa" w:w="3024"/>
            <w:vAlign w:val="center"/>
          </w:tcPr>
          <w:p>
            <w:r/>
            <w:r>
              <w:rPr>
                <w:rFonts w:ascii="Aptos" w:hAnsi="Aptos"/>
                <w:b w:val="0"/>
                <w:sz w:val="17"/>
              </w:rPr>
              <w:t>No unvalidated public abstraction remains; migration from pre-1.0 consumers is measured and documented.</w:t>
            </w:r>
          </w:p>
        </w:tc>
      </w:tr>
      <w:tr>
        <w:trPr>
          <w:cantSplit/>
        </w:trPr>
        <w:tc>
          <w:tcPr>
            <w:tcW w:type="dxa" w:w="2088"/>
            <w:vAlign w:val="center"/>
          </w:tcPr>
          <w:p>
            <w:r/>
            <w:r>
              <w:rPr>
                <w:rFonts w:ascii="Aptos" w:hAnsi="Aptos"/>
                <w:b w:val="0"/>
                <w:sz w:val="17"/>
              </w:rPr>
              <w:t>M7 — 1.0 release</w:t>
            </w:r>
          </w:p>
        </w:tc>
        <w:tc>
          <w:tcPr>
            <w:tcW w:type="dxa" w:w="5328"/>
            <w:vAlign w:val="center"/>
          </w:tcPr>
          <w:p>
            <w:r/>
            <w:r>
              <w:rPr>
                <w:rFonts w:ascii="Aptos" w:hAnsi="Aptos"/>
                <w:b w:val="0"/>
                <w:sz w:val="17"/>
              </w:rPr>
              <w:t>Promote public API baselines, tag package/schema versions, publish release notes and compatibility contract.</w:t>
            </w:r>
          </w:p>
        </w:tc>
        <w:tc>
          <w:tcPr>
            <w:tcW w:type="dxa" w:w="3024"/>
            <w:vAlign w:val="center"/>
          </w:tcPr>
          <w:p>
            <w:r/>
            <w:r>
              <w:rPr>
                <w:rFonts w:ascii="Aptos" w:hAnsi="Aptos"/>
                <w:b w:val="0"/>
                <w:sz w:val="17"/>
              </w:rPr>
              <w:t>CI green from tag; packages reproducible; at least two real consumers pinned and passing against 1.0.</w:t>
            </w:r>
          </w:p>
        </w:tc>
      </w:tr>
    </w:tbl>
    <w:p/>
    <w:p>
      <w:pPr>
        <w:pStyle w:val="Heading1"/>
      </w:pPr>
      <w:r>
        <w:t>15. Initial Consumer Strategy</w:t>
      </w:r>
    </w:p>
    <w:p>
      <w:r>
        <w:t>Do not validate the design only against synthetic fixtures. Choose consumers that stress different source characteristics.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3168"/>
            <w:vAlign w:val="center"/>
            <w:shd w:fill="D9EAF7"/>
          </w:tcPr>
          <w:p>
            <w:r/>
            <w:r>
              <w:rPr>
                <w:rFonts w:ascii="Aptos" w:hAnsi="Aptos"/>
                <w:b/>
                <w:sz w:val="18"/>
              </w:rPr>
              <w:t>Consumer class</w:t>
            </w:r>
          </w:p>
        </w:tc>
        <w:tc>
          <w:tcPr>
            <w:tcW w:type="dxa" w:w="6912"/>
            <w:vAlign w:val="center"/>
            <w:shd w:fill="D9EAF7"/>
          </w:tcPr>
          <w:p>
            <w:r/>
            <w:r>
              <w:rPr>
                <w:rFonts w:ascii="Aptos" w:hAnsi="Aptos"/>
                <w:b/>
                <w:sz w:val="18"/>
              </w:rPr>
              <w:t>What it proves</w:t>
            </w:r>
          </w:p>
        </w:tc>
      </w:tr>
      <w:tr>
        <w:trPr>
          <w:cantSplit/>
        </w:trPr>
        <w:tc>
          <w:tcPr>
            <w:tcW w:type="dxa" w:w="3168"/>
            <w:vAlign w:val="center"/>
          </w:tcPr>
          <w:p>
            <w:r/>
            <w:r>
              <w:rPr>
                <w:rFonts w:ascii="Aptos" w:hAnsi="Aptos"/>
                <w:b w:val="0"/>
                <w:sz w:val="17"/>
              </w:rPr>
              <w:t>Regulatory corpus</w:t>
            </w:r>
          </w:p>
        </w:tc>
        <w:tc>
          <w:tcPr>
            <w:tcW w:type="dxa" w:w="6912"/>
            <w:vAlign w:val="center"/>
          </w:tcPr>
          <w:p>
            <w:r/>
            <w:r>
              <w:rPr>
                <w:rFonts w:ascii="Aptos" w:hAnsi="Aptos"/>
                <w:b w:val="0"/>
                <w:sz w:val="17"/>
              </w:rPr>
              <w:t>Structured designations, version/as-of concerns, authoritative updates, stable section addressing.</w:t>
            </w:r>
          </w:p>
        </w:tc>
      </w:tr>
      <w:tr>
        <w:trPr>
          <w:cantSplit/>
        </w:trPr>
        <w:tc>
          <w:tcPr>
            <w:tcW w:type="dxa" w:w="3168"/>
            <w:vAlign w:val="center"/>
          </w:tcPr>
          <w:p>
            <w:r/>
            <w:r>
              <w:rPr>
                <w:rFonts w:ascii="Aptos" w:hAnsi="Aptos"/>
                <w:b w:val="0"/>
                <w:sz w:val="17"/>
              </w:rPr>
              <w:t>Board-game/manual corpus</w:t>
            </w:r>
          </w:p>
        </w:tc>
        <w:tc>
          <w:tcPr>
            <w:tcW w:type="dxa" w:w="6912"/>
            <w:vAlign w:val="center"/>
          </w:tcPr>
          <w:p>
            <w:r/>
            <w:r>
              <w:rPr>
                <w:rFonts w:ascii="Aptos" w:hAnsi="Aptos"/>
                <w:b w:val="0"/>
                <w:sz w:val="17"/>
              </w:rPr>
              <w:t>PDF/page provenance, human-oriented headings, tables/sidebars, potentially imperfect extraction.</w:t>
            </w:r>
          </w:p>
        </w:tc>
      </w:tr>
      <w:tr>
        <w:trPr>
          <w:cantSplit/>
        </w:trPr>
        <w:tc>
          <w:tcPr>
            <w:tcW w:type="dxa" w:w="3168"/>
            <w:vAlign w:val="center"/>
          </w:tcPr>
          <w:p>
            <w:r/>
            <w:r>
              <w:rPr>
                <w:rFonts w:ascii="Aptos" w:hAnsi="Aptos"/>
                <w:b w:val="0"/>
                <w:sz w:val="17"/>
              </w:rPr>
              <w:t>Optional third: contract/policy text</w:t>
            </w:r>
          </w:p>
        </w:tc>
        <w:tc>
          <w:tcPr>
            <w:tcW w:type="dxa" w:w="6912"/>
            <w:vAlign w:val="center"/>
          </w:tcPr>
          <w:p>
            <w:r/>
            <w:r>
              <w:rPr>
                <w:rFonts w:ascii="Aptos" w:hAnsi="Aptos"/>
                <w:b w:val="0"/>
                <w:sz w:val="17"/>
              </w:rPr>
              <w:t>Multiple documents, amendments, source hierarchy, non-game/non-regulatory vocabulary.</w:t>
            </w:r>
          </w:p>
        </w:tc>
      </w:tr>
    </w:tbl>
    <w:p/>
    <w:p>
      <w:r>
        <w:t>The first two consumers should be enough to reject many false abstractions. A proposed generic API that only one consumer needs stays in that consumer until a second materially different case appears.</w:t>
      </w:r>
    </w:p>
    <w:p>
      <w:pPr>
        <w:pStyle w:val="Heading1"/>
      </w:pPr>
      <w:r>
        <w:t>16. Scope-Control Rules for AI-Driven Development</w:t>
      </w:r>
    </w:p>
    <w:p>
      <w:r>
        <w:t>Because the repository may be developed primarily by coding agents, the project needs explicit anti-expansion rails.</w:t>
      </w:r>
    </w:p>
    <w:p>
      <w:pPr>
        <w:pStyle w:val="ListBullet"/>
      </w:pPr>
      <w:r>
        <w:t>No new package, adapter, abstraction, or manifest field without a named current consumer or a release-blocking invariant.</w:t>
      </w:r>
    </w:p>
    <w:p>
      <w:pPr>
        <w:pStyle w:val="ListBullet"/>
      </w:pPr>
      <w:r>
        <w:t>No “future-proofing” work whose only justification is that another format or use case might appear later.</w:t>
      </w:r>
    </w:p>
    <w:p>
      <w:pPr>
        <w:pStyle w:val="ListBullet"/>
      </w:pPr>
      <w:r>
        <w:t>Prefer deleting speculative code over documenting it into permanence.</w:t>
      </w:r>
    </w:p>
    <w:p>
      <w:pPr>
        <w:pStyle w:val="ListBullet"/>
      </w:pPr>
      <w:r>
        <w:t>One implementation pass followed by targeted review; do not repeatedly re-review the entire repository after narrow fixes unless a release gate requires it.</w:t>
      </w:r>
    </w:p>
    <w:p>
      <w:pPr>
        <w:pStyle w:val="ListBullet"/>
      </w:pPr>
      <w:r>
        <w:t>Calibration should reuse pinned consumer states; do not rediscover or re-read entire consumer repositories when only a known contract changed.</w:t>
      </w:r>
    </w:p>
    <w:p>
      <w:pPr>
        <w:pStyle w:val="ListBullet"/>
      </w:pPr>
      <w:r>
        <w:t>A passing milestone exits the milestone. New ideas go to a backlog unless they invalidate an explicit acceptance criterion.</w:t>
      </w:r>
    </w:p>
    <w:p>
      <w:pPr>
        <w:pStyle w:val="ListBullet"/>
      </w:pPr>
      <w:r>
        <w:t>The agent must distinguish evidence, inference, and recommendation in design records.</w:t>
      </w:r>
    </w:p>
    <w:p>
      <w:pPr>
        <w:pStyle w:val="Heading1"/>
      </w:pPr>
      <w:r>
        <w:t>17. Decisions to Make Before Coding</w:t>
      </w:r>
    </w:p>
    <w:p>
      <w:pPr>
        <w:pStyle w:val="ListBullet"/>
      </w:pPr>
      <w:r>
        <w:t>Repository/package name: rules-corpus vs. rules-sources. Recommendation: rules-corpus because the output is a corpus artifact, not merely a source downloader.</w:t>
      </w:r>
    </w:p>
    <w:p>
      <w:pPr>
        <w:pStyle w:val="ListBullet"/>
      </w:pPr>
      <w:r>
        <w:t>Manifest serialization: JSON is the simplest default; canonical digest rules must define ordering/encoding independently of pretty-printing.</w:t>
      </w:r>
    </w:p>
    <w:p>
      <w:pPr>
        <w:pStyle w:val="ListBullet"/>
      </w:pPr>
      <w:r>
        <w:t>Digest algorithms: begin with SHA-256 unless a concrete requirement justifies another algorithm; model the algorithm explicitly.</w:t>
      </w:r>
    </w:p>
    <w:p>
      <w:pPr>
        <w:pStyle w:val="ListBullet"/>
      </w:pPr>
      <w:r>
        <w:t>Canonical text encoding/newline policy: UTF-8 without BOM and LF is a sensible deterministic default.</w:t>
      </w:r>
    </w:p>
    <w:p>
      <w:pPr>
        <w:pStyle w:val="ListBullet"/>
      </w:pPr>
      <w:r>
        <w:t>Segment identifiers: distinguish human/source locators from internal stable IDs; do not force every format into page/section semantics.</w:t>
      </w:r>
    </w:p>
    <w:p>
      <w:pPr>
        <w:pStyle w:val="ListBullet"/>
      </w:pPr>
      <w:r>
        <w:t>Original artifact storage: decide whether the corpus package embeds originals or references externally retained immutable artifacts; support the minimum needed by first consumers.</w:t>
      </w:r>
    </w:p>
    <w:p>
      <w:pPr>
        <w:pStyle w:val="ListBullet"/>
      </w:pPr>
      <w:r>
        <w:t>PDF strategy: do not promise deterministic PDF text extraction until the chosen extractor and version are pinned and empirically reproducible.</w:t>
      </w:r>
    </w:p>
    <w:p>
      <w:pPr>
        <w:pStyle w:val="Heading1"/>
      </w:pPr>
      <w:r>
        <w:t>18. 1.0 Success Definition</w:t>
      </w:r>
    </w:p>
    <w:p>
      <w:r>
        <w:t>rules-corpus 1.0 is complete when the following statement is true without qualification:</w:t>
      </w:r>
    </w:p>
    <w:tbl>
      <w:tblPr>
        <w:tblStyle w:val="TableGrid"/>
        <w:tblW w:type="auto" w:w="0"/>
        <w:tblLook w:firstColumn="1" w:firstRow="1" w:lastColumn="0" w:lastRow="0" w:noHBand="0" w:noVBand="1" w:val="04A0"/>
      </w:tblPr>
      <w:tblGrid>
        <w:gridCol w:w="9936"/>
      </w:tblGrid>
      <w:tr>
        <w:tc>
          <w:tcPr>
            <w:tcW w:type="dxa" w:w="9936"/>
            <w:shd w:fill="EAF2F8"/>
          </w:tcPr>
          <w:p>
            <w:pPr>
              <w:jc w:val="center"/>
            </w:pPr>
            <w:r/>
            <w:r>
              <w:rPr>
                <w:b/>
                <w:sz w:val="22"/>
              </w:rPr>
              <w:t>“Given retained authoritative source artifacts, rules-corpus can reproducibly produce and verify a portable, immutable, addressable corpus whose content identity, derivation history, and source mappings are explicit, without containing or interpreting any domain rules.”</w:t>
            </w:r>
          </w:p>
        </w:tc>
      </w:tr>
    </w:tbl>
    <w:p/>
    <w:p>
      <w:r>
        <w:t>A 1.0 release should not be blocked on supporting every document format. It should be blocked on whether the abstractions and compatibility contract have been demonstrated by materially different real consumers.</w:t>
      </w:r>
    </w:p>
    <w:p>
      <w:pPr>
        <w:pStyle w:val="Heading1"/>
      </w:pPr>
      <w:r>
        <w:t>19. Recommended First Implementation Slice</w:t>
      </w:r>
    </w:p>
    <w:p>
      <w:r>
        <w:t>The first implementation should be intentionally small enough to complete and falsify quickly:</w:t>
      </w:r>
    </w:p>
    <w:p>
      <w:pPr>
        <w:pStyle w:val="ListBullet"/>
      </w:pPr>
      <w:r>
        <w:t>RulesCorpus core package with digest, artifact, derivation, segment, and manifest types.</w:t>
      </w:r>
    </w:p>
    <w:p>
      <w:pPr>
        <w:pStyle w:val="ListBullet"/>
      </w:pPr>
      <w:r>
        <w:t>JSON manifest reader/writer with strict validation.</w:t>
      </w:r>
    </w:p>
    <w:p>
      <w:pPr>
        <w:pStyle w:val="ListBullet"/>
      </w:pPr>
      <w:r>
        <w:t>UTF-8 text adapter with deterministic newline/Unicode normalization policy.</w:t>
      </w:r>
    </w:p>
    <w:p>
      <w:pPr>
        <w:pStyle w:val="ListBullet"/>
      </w:pPr>
      <w:r>
        <w:t>Explicit line/heading or caller-supplied segment boundaries; no clever semantic segmentation.</w:t>
      </w:r>
    </w:p>
    <w:p>
      <w:pPr>
        <w:pStyle w:val="ListBullet"/>
      </w:pPr>
      <w:r>
        <w:t>CLI: build, verify, inspect, diff.</w:t>
      </w:r>
    </w:p>
    <w:p>
      <w:pPr>
        <w:pStyle w:val="ListBullet"/>
      </w:pPr>
      <w:r>
        <w:t>One regulatory text fixture and one manual/rulebook-derived fixture.</w:t>
      </w:r>
    </w:p>
    <w:p>
      <w:pPr>
        <w:pStyle w:val="ListBullet"/>
      </w:pPr>
      <w:r>
        <w:t>A single full validation command used locally and by CI.</w:t>
      </w:r>
    </w:p>
    <w:p>
      <w:r>
        <w:rPr>
          <w:b/>
        </w:rPr>
        <w:t xml:space="preserve">Deliberately deferred: </w:t>
      </w:r>
      <w:r>
        <w:t>OCR, embeddings, semantic search, generalized scraping, automated authority discovery, rich PDF layout reconstruction, domain-aware parsers, persistence services, and UI.</w:t>
      </w:r>
    </w:p>
    <w:p>
      <w:pPr>
        <w:pStyle w:val="Heading1"/>
      </w:pPr>
      <w:r>
        <w:t>20. Final Direction</w:t>
      </w:r>
    </w:p>
    <w:p>
      <w:r>
        <w:rPr>
          <w:b/>
        </w:rPr>
        <w:t xml:space="preserve">Build rules-corpus as evidence infrastructure, not as a document platform. </w:t>
      </w:r>
      <w:r>
        <w:t>Its value is that every engine can inherit a trustworthy answer to “exactly what source did this engine use, exactly how was it transformed, and exactly where did this rule come from?” without reimplementing that machinery or contaminating the kernel with document concerns.</w:t>
      </w:r>
    </w:p>
    <w:p>
      <w:r>
        <w:t>If kept this narrow, rules-corpus becomes the missing upstream counterpart to rules-kernel: rules-kernel stabilizes what an engine must say about identity, provenance, resolution, and determinism; rules-corpus stabilizes the evidence those identities and provenance claims refer 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Foundational source/corpus infrastructure for deterministic rules engines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RULES-CORPUS · DESIGN &amp;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