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Example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Brandon</w:t>
      </w:r>
      <w:r>
        <w:t xml:space="preserve"> </w:t>
      </w:r>
      <w:r>
        <w:t xml:space="preserve">Kopp</w:t>
      </w:r>
    </w:p>
    <w:p>
      <w:pPr>
        <w:pStyle w:val="Date"/>
      </w:pPr>
      <w:r>
        <w:t xml:space="preserve">7/13/2019</w:t>
      </w:r>
    </w:p>
    <w:p>
      <w:pPr>
        <w:pStyle w:val="Heading2"/>
      </w:pPr>
      <w:bookmarkStart w:id="20" w:name="fishers-iris-data"/>
      <w:r>
        <w:t xml:space="preserve">Fisher’s Iris Data</w:t>
      </w:r>
      <w:bookmarkEnd w:id="20"/>
    </w:p>
    <w:p>
      <w:pPr>
        <w:pStyle w:val="Heading4"/>
      </w:pPr>
      <w:bookmarkStart w:id="21" w:name="by-brandon-kopp"/>
      <w:r>
        <w:t xml:space="preserve">by Brandon Kopp</w:t>
      </w:r>
      <w:bookmarkEnd w:id="21"/>
    </w:p>
    <w:p>
      <w:pPr>
        <w:pStyle w:val="FirstParagraph"/>
      </w:pPr>
      <w:r>
        <w:t xml:space="preserve">The famous</w:t>
      </w:r>
      <w:r>
        <w:t xml:space="preserve"> </w:t>
      </w:r>
      <w:r>
        <w:rPr>
          <w:b/>
        </w:rPr>
        <w:t xml:space="preserve">Fisher iris data set</w:t>
      </w:r>
      <w:r>
        <w:t xml:space="preserve"> </w:t>
      </w:r>
      <w:r>
        <w:t xml:space="preserve">gives the measurements in centimeters of the variables sepal length and width and petal length and width, respectively, for 50 flowers from each of 3 species of iris. The species are Iris</w:t>
      </w:r>
      <w:r>
        <w:t xml:space="preserve"> </w:t>
      </w:r>
      <w:r>
        <w:rPr>
          <w:i/>
        </w:rPr>
        <w:t xml:space="preserve">setosa</w:t>
      </w:r>
      <w:r>
        <w:t xml:space="preserve">,</w:t>
      </w:r>
      <w:r>
        <w:t xml:space="preserve"> </w:t>
      </w:r>
      <w:r>
        <w:rPr>
          <w:i/>
        </w:rPr>
        <w:t xml:space="preserve">versicolor</w:t>
      </w:r>
      <w:r>
        <w:t xml:space="preserve">, and</w:t>
      </w:r>
      <w:r>
        <w:t xml:space="preserve"> </w:t>
      </w:r>
      <w:r>
        <w:rPr>
          <w:i/>
        </w:rPr>
        <w:t xml:space="preserve">virginica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iris</w:t>
      </w:r>
      <w:r>
        <w:t xml:space="preserve"> </w:t>
      </w:r>
      <w:r>
        <w:t xml:space="preserve">is a data frame with 150 cases (rows) and 5 variables (columns) named:</w:t>
      </w:r>
    </w:p>
    <w:p>
      <w:pPr>
        <w:pStyle w:val="Compact"/>
        <w:numPr>
          <w:numId w:val="1001"/>
          <w:ilvl w:val="0"/>
        </w:numPr>
      </w:pPr>
      <w:r>
        <w:t xml:space="preserve">Sepal.Length</w:t>
      </w:r>
    </w:p>
    <w:p>
      <w:pPr>
        <w:pStyle w:val="Compact"/>
        <w:numPr>
          <w:numId w:val="1001"/>
          <w:ilvl w:val="0"/>
        </w:numPr>
      </w:pPr>
      <w:r>
        <w:t xml:space="preserve">Sepal.Width</w:t>
      </w:r>
    </w:p>
    <w:p>
      <w:pPr>
        <w:pStyle w:val="Compact"/>
        <w:numPr>
          <w:numId w:val="1001"/>
          <w:ilvl w:val="0"/>
        </w:numPr>
      </w:pPr>
      <w:r>
        <w:t xml:space="preserve">Petal.Length</w:t>
      </w:r>
    </w:p>
    <w:p>
      <w:pPr>
        <w:pStyle w:val="Compact"/>
        <w:numPr>
          <w:numId w:val="1001"/>
          <w:ilvl w:val="0"/>
        </w:numPr>
      </w:pPr>
      <w:r>
        <w:t xml:space="preserve">Petal.Width</w:t>
      </w:r>
    </w:p>
    <w:p>
      <w:pPr>
        <w:pStyle w:val="Compact"/>
        <w:numPr>
          <w:numId w:val="1001"/>
          <w:ilvl w:val="0"/>
        </w:numPr>
      </w:pPr>
      <w:r>
        <w:t xml:space="preserve">Species</w:t>
      </w:r>
    </w:p>
    <w:p>
      <w:pPr>
        <w:pStyle w:val="FirstParagraph"/>
      </w:pPr>
      <w:r>
        <w:t xml:space="preserve">For more information about this data set, see</w:t>
      </w:r>
      <w:r>
        <w:t xml:space="preserve"> </w:t>
      </w:r>
      <w:hyperlink r:id="rId22">
        <w:r>
          <w:rPr>
            <w:rStyle w:val="Hyperlink"/>
          </w:rPr>
          <w:t xml:space="preserve">Fisher’s Iris Data Set on Wikipedia</w:t>
        </w:r>
      </w:hyperlink>
      <w:r>
        <w:t xml:space="preserve">.</w:t>
      </w:r>
    </w:p>
    <w:p>
      <w:pPr>
        <w:pStyle w:val="Heading3"/>
      </w:pPr>
      <w:bookmarkStart w:id="23" w:name="load-libraries"/>
      <w:r>
        <w:t xml:space="preserve">Load Libraries</w:t>
      </w:r>
      <w:bookmarkEnd w:id="23"/>
    </w:p>
    <w:p>
      <w:pPr>
        <w:pStyle w:val="FirstParagraph"/>
      </w:pPr>
      <w:r>
        <w:t xml:space="preserve">Load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packages for later use.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3"/>
      </w:pPr>
      <w:bookmarkStart w:id="24" w:name="data-transformation"/>
      <w:r>
        <w:t xml:space="preserve">Data Transformation</w:t>
      </w:r>
      <w:bookmarkEnd w:id="24"/>
    </w:p>
    <w:p>
      <w:pPr>
        <w:pStyle w:val="FirstParagraph"/>
      </w:pPr>
      <w:r>
        <w:t xml:space="preserve">Calculate new variables that represent the area of the Sepals and Petals (Length X Width).</w:t>
      </w:r>
    </w:p>
    <w:p>
      <w:pPr>
        <w:pStyle w:val="SourceCode"/>
      </w:pPr>
      <w:r>
        <w:rPr>
          <w:rStyle w:val="NormalTok"/>
        </w:rPr>
        <w:t xml:space="preserve">iris_df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sepal_area =</w:t>
      </w:r>
      <w:r>
        <w:rPr>
          <w:rStyle w:val="NormalTok"/>
        </w:rPr>
        <w:t xml:space="preserve"> Sepal.Length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Sepal.Width,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petal_area =</w:t>
      </w:r>
      <w:r>
        <w:rPr>
          <w:rStyle w:val="NormalTok"/>
        </w:rPr>
        <w:t xml:space="preserve"> Petal.Length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Petal.Width)</w:t>
      </w:r>
    </w:p>
    <w:p>
      <w:pPr>
        <w:pStyle w:val="Heading3"/>
      </w:pPr>
      <w:bookmarkStart w:id="25" w:name="data-table"/>
      <w:r>
        <w:t xml:space="preserve">Data Table</w:t>
      </w:r>
      <w:bookmarkEnd w:id="25"/>
    </w:p>
    <w:p>
      <w:pPr>
        <w:pStyle w:val="FirstParagraph"/>
      </w:pPr>
      <w:r>
        <w:t xml:space="preserve">Display the data using a table.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(iris_df))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sepal_area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petal_area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p>
            <w:pPr>
              <w:pStyle w:val="Compact"/>
              <w:jc w:val="right"/>
            </w:pPr>
            <w:r>
              <w:t xml:space="preserve">17.85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p>
            <w:pPr>
              <w:pStyle w:val="Compact"/>
              <w:jc w:val="right"/>
            </w:pPr>
            <w:r>
              <w:t xml:space="preserve">14.70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p>
            <w:pPr>
              <w:pStyle w:val="Compact"/>
              <w:jc w:val="right"/>
            </w:pPr>
            <w:r>
              <w:t xml:space="preserve">15.04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p>
            <w:pPr>
              <w:pStyle w:val="Compact"/>
              <w:jc w:val="right"/>
            </w:pPr>
            <w:r>
              <w:t xml:space="preserve">14.26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p>
            <w:pPr>
              <w:pStyle w:val="Compact"/>
              <w:jc w:val="right"/>
            </w:pPr>
            <w:r>
              <w:t xml:space="preserve">21.06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</w:tbl>
    <w:p>
      <w:pPr>
        <w:pStyle w:val="Heading3"/>
      </w:pPr>
      <w:bookmarkStart w:id="26" w:name="plot"/>
      <w:r>
        <w:t xml:space="preserve">Plot</w:t>
      </w:r>
      <w:bookmarkEnd w:id="26"/>
    </w:p>
    <w:p>
      <w:pPr>
        <w:pStyle w:val="FirstParagraph"/>
      </w:pPr>
      <w:r>
        <w:t xml:space="preserve">Create a scatterplot of the Sepal Area and Petal Area variables calculated above.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(iris_df,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(sepal_area, petal_area))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"Sepal Area (in sq cm)"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"Petal Area (in sq cm)"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Exerci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2" Target="https://en.wikipedia.org/wiki/Iris_flower_data_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n.wikipedia.org/wiki/Iris_flower_data_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Example Document</dc:title>
  <dc:creator>Brandon Kopp</dc:creator>
  <cp:keywords/>
  <dcterms:created xsi:type="dcterms:W3CDTF">2019-07-14T21:59:55Z</dcterms:created>
  <dcterms:modified xsi:type="dcterms:W3CDTF">2019-07-14T21:59:55Z</dcterms:modified>
</cp:coreProperties>
</file>