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PARCIALES PRIMER SEMESTRE 2027</w:t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800"/>
        <w:gridCol w:w="1680"/>
        <w:gridCol w:w="1695"/>
        <w:gridCol w:w="1575"/>
        <w:gridCol w:w="1560"/>
        <w:tblGridChange w:id="0">
          <w:tblGrid>
            <w:gridCol w:w="1305"/>
            <w:gridCol w:w="1800"/>
            <w:gridCol w:w="1680"/>
            <w:gridCol w:w="1695"/>
            <w:gridCol w:w="1575"/>
            <w:gridCol w:w="15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1er. Parcial - Mes: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 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P. Avanz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420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665"/>
        <w:gridCol w:w="1710"/>
        <w:gridCol w:w="1680"/>
        <w:gridCol w:w="1605"/>
        <w:gridCol w:w="1485"/>
        <w:tblGridChange w:id="0">
          <w:tblGrid>
            <w:gridCol w:w="1275"/>
            <w:gridCol w:w="1665"/>
            <w:gridCol w:w="1710"/>
            <w:gridCol w:w="1680"/>
            <w:gridCol w:w="1605"/>
            <w:gridCol w:w="14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38"/>
                <w:szCs w:val="38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PARCIAL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.37304687500006" w:hRule="atLeast"/>
          <w:tblHeader w:val="0"/>
        </w:trPr>
        <w:tc>
          <w:tcPr>
            <w:gridSpan w:val="4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2do. Parcial - Mes: junio-julio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Martes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Miércoles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.477539062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 Avanz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BD2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977900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8YE2Hol0j6miMUMRPBfxizZJDA==">CgMxLjA4AHIhMXdhb2ZUaEVSdE5TOVAzS0hQaVNKOTRpTm1kejNkajhS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