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/>
          <w:b/>
          <w:i w:val="0"/>
          <w:color w:val="D9A441"/>
          <w:sz w:val="22"/>
        </w:rPr>
        <w:t>ASK MAGIC MIKE</w:t>
      </w:r>
    </w:p>
    <w:p>
      <w:pPr>
        <w:spacing w:after="120"/>
      </w:pPr>
      <w:r>
        <w:rPr>
          <w:rFonts w:ascii="Arial" w:hAnsi="Arial"/>
          <w:b/>
          <w:i w:val="0"/>
          <w:color w:val="111111"/>
          <w:sz w:val="52"/>
        </w:rPr>
        <w:t>Brandon Web Push Enrollment</w:t>
      </w:r>
    </w:p>
    <w:p>
      <w:pPr>
        <w:spacing w:after="320"/>
      </w:pPr>
      <w:r>
        <w:rPr>
          <w:rFonts w:ascii="Arial" w:hAnsi="Arial"/>
          <w:b w:val="0"/>
          <w:i w:val="0"/>
          <w:color w:val="363636"/>
          <w:sz w:val="26"/>
        </w:rPr>
        <w:t>Physical-device enrollment guide for the administrator copy role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STATUS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PHYSICAL ACTION PENDING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DATE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August 15, 2026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DATA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genuine customer PII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Technical state: ready. Device state: not enrolled.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Open https://www.askmagicmike.com/admin/notifications/phone while signed in as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Brandon. On iPhone/iPad, add the site to the Home Screen and open it there.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Enter a non-sensitive device label, select the copy role, grant the browser's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notification permission, and send one clearly labeled [TEST] push. Confirm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the deep link returns to the authenticated Lead Center, duplicate enrollment is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idempotent, revocation stops delivery, and re-enroll only if needed.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Never copy the Push endpoint or keys into chat, screenshots, or shared records.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The browser permission cannot and must not be bypassed remotely.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OUR TOWN PROPERTIES, INC.  |  ASK MAGIC MIKE  |  INTERNAL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7"/>
      </w:rPr>
      <w:t>BRANDON WEB PUSH ENROLLMENT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9A4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D9A4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36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