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Arial" w:hAnsi="Arial"/>
          <w:b/>
          <w:i w:val="0"/>
          <w:color w:val="D9A441"/>
          <w:sz w:val="22"/>
        </w:rPr>
        <w:t>ASK MAGIC MIKE</w:t>
      </w:r>
    </w:p>
    <w:p>
      <w:pPr>
        <w:spacing w:after="120"/>
      </w:pPr>
      <w:r>
        <w:rPr>
          <w:rFonts w:ascii="Arial" w:hAnsi="Arial"/>
          <w:b/>
          <w:i w:val="0"/>
          <w:color w:val="111111"/>
          <w:sz w:val="52"/>
        </w:rPr>
        <w:t>First Genuine Lead Response Runbook</w:t>
      </w:r>
    </w:p>
    <w:p>
      <w:pPr>
        <w:spacing w:after="320"/>
      </w:pPr>
      <w:r>
        <w:rPr>
          <w:rFonts w:ascii="Arial" w:hAnsi="Arial"/>
          <w:b w:val="0"/>
          <w:i w:val="0"/>
          <w:color w:val="363636"/>
          <w:sz w:val="26"/>
        </w:rPr>
        <w:t>Private operator response, acceptance, and escalation controls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9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9A441"/>
                <w:sz w:val="15"/>
              </w:rPr>
              <w:t>STATUS</w:t>
              <w:br/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READY / NOT YET OBSERVED</w:t>
            </w:r>
          </w:p>
        </w:tc>
        <w:tc>
          <w:tcPr>
            <w:tcW w:type="dxa" w:w="309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9A441"/>
                <w:sz w:val="15"/>
              </w:rPr>
              <w:t>DATE</w:t>
              <w:br/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August 15, 2026</w:t>
            </w:r>
          </w:p>
        </w:tc>
        <w:tc>
          <w:tcPr>
            <w:tcW w:type="dxa" w:w="3096"/>
            <w:shd w:fill="11111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D9A441"/>
                <w:sz w:val="15"/>
              </w:rPr>
              <w:t>DATA</w:t>
              <w:br/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No genuine customer PII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These are internal operating targets, not public response-time guarantees.</w:t>
      </w:r>
    </w:p>
    <w:p>
      <w:pPr>
        <w:pStyle w:val="Heading1"/>
      </w:pPr>
      <w:r>
        <w:t>Immediate triage</w:t>
      </w:r>
    </w:p>
    <w:p>
      <w:pPr>
        <w:pStyle w:val="ListNumber"/>
      </w:pPr>
      <w:r>
        <w:rPr>
          <w:rFonts w:ascii="Arial" w:hAnsi="Arial"/>
          <w:b w:val="0"/>
          <w:i w:val="0"/>
          <w:color w:val="111111"/>
          <w:sz w:val="21"/>
        </w:rPr>
        <w:t>Confirm is_test=false and all QA markers are absent.</w:t>
      </w:r>
    </w:p>
    <w:p>
      <w:pPr>
        <w:pStyle w:val="ListNumber"/>
      </w:pPr>
      <w:r>
        <w:rPr>
          <w:rFonts w:ascii="Arial" w:hAnsi="Arial"/>
          <w:b w:val="0"/>
          <w:i w:val="0"/>
          <w:color w:val="111111"/>
          <w:sz w:val="21"/>
        </w:rPr>
        <w:t>Confirm communication suppression reflects the submitted consent; never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remove suppression merely to make follow-up easier.</w:t>
      </w:r>
    </w:p>
    <w:p>
      <w:pPr>
        <w:pStyle w:val="ListNumber"/>
      </w:pPr>
      <w:r>
        <w:rPr>
          <w:rFonts w:ascii="Arial" w:hAnsi="Arial"/>
          <w:b w:val="0"/>
          <w:i w:val="0"/>
          <w:color w:val="111111"/>
          <w:sz w:val="21"/>
        </w:rPr>
        <w:t>Confirm one canonical lead and one local WordPress entry when WordPress is the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source.</w:t>
      </w:r>
    </w:p>
    <w:p>
      <w:pPr>
        <w:pStyle w:val="ListNumber"/>
      </w:pPr>
      <w:r>
        <w:rPr>
          <w:rFonts w:ascii="Arial" w:hAnsi="Arial"/>
          <w:b w:val="0"/>
          <w:i w:val="0"/>
          <w:color w:val="111111"/>
          <w:sz w:val="21"/>
        </w:rPr>
        <w:t>Confirm source, campaign, landing page, form/placement, click IDs, consent,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score, assignment, and routing reason.</w:t>
      </w:r>
    </w:p>
    <w:p>
      <w:pPr>
        <w:pStyle w:val="ListNumber"/>
      </w:pPr>
      <w:r>
        <w:rPr>
          <w:rFonts w:ascii="Arial" w:hAnsi="Arial"/>
          <w:b w:val="0"/>
          <w:i w:val="0"/>
          <w:color w:val="111111"/>
          <w:sz w:val="21"/>
        </w:rPr>
        <w:t>Confirm the internal notification is sent and has a provider message ID.</w:t>
      </w:r>
    </w:p>
    <w:p>
      <w:pPr>
        <w:pStyle w:val="ListNumber"/>
      </w:pPr>
      <w:r>
        <w:rPr>
          <w:rFonts w:ascii="Arial" w:hAnsi="Arial"/>
          <w:b w:val="0"/>
          <w:i w:val="0"/>
          <w:color w:val="111111"/>
          <w:sz w:val="21"/>
        </w:rPr>
        <w:t>Confirm no duplicate lead or duplicate message exists.</w:t>
      </w:r>
    </w:p>
    <w:p>
      <w:pPr>
        <w:pStyle w:val="ListNumber"/>
      </w:pPr>
      <w:r>
        <w:rPr>
          <w:rFonts w:ascii="Arial" w:hAnsi="Arial"/>
          <w:b w:val="0"/>
          <w:i w:val="0"/>
          <w:color w:val="111111"/>
          <w:sz w:val="21"/>
        </w:rPr>
        <w:t>Start the assignment timer.</w:t>
      </w:r>
    </w:p>
    <w:p>
      <w:pPr>
        <w:pStyle w:val="Heading1"/>
      </w:pPr>
      <w:r>
        <w:t>Targets and escalation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20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State</w:t>
            </w:r>
          </w:p>
        </w:tc>
        <w:tc>
          <w:tcPr>
            <w:tcW w:type="dxa" w:w="3120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Target</w:t>
            </w:r>
          </w:p>
        </w:tc>
        <w:tc>
          <w:tcPr>
            <w:tcW w:type="dxa" w:w="3120"/>
            <w:shd w:fill="242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Escalation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Assignment acceptance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Within 2 minutes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Mike/admin alert; mark unaccepted_assignment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First human contact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Within 5 minutes when consent permits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Mike/admin alert; mark first_contact_sla_breach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Failed email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Immediate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Keep lead stored; retry with bounded backoff; mark notification_failed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Unassigned lead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Immediate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Assign to Mike or unassigned_admin_review; store routing reason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Duplicate suspicion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Before contact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Link to master; preserve prior owner; do not double-contact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Invalid contact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Before contact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Mark invalid field, preserve record, request admin review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Out of area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Before advice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8F8"/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Mark out_of_area_review; do not promise coverage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Coastal request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Before advice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111111"/>
                <w:sz w:val="17"/>
              </w:rPr>
              <w:t>Mark coastal_review; no unapproved territory claims</w:t>
            </w:r>
          </w:p>
        </w:tc>
      </w:tr>
    </w:tbl>
    <w:p/>
    <w:p>
      <w:pPr>
        <w:pStyle w:val="Heading1"/>
      </w:pPr>
      <w:r>
        <w:t>Human outcome recording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Record attempted, contacted, appointment, nurture, signed client, closing, bad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lead, and attributed revenue only when they actually occur. Never rewrite a live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lead as QA, delete it for dashboard cleanliness, or use it for testing.</w:t>
      </w:r>
    </w:p>
    <w:p>
      <w:pPr>
        <w:pStyle w:val="Heading1"/>
      </w:pPr>
      <w:r>
        <w:t>Protected legacy entry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WordPress Form 7 entry 1550 is not the canonical first-live test case. It is a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genuine, consent-restricted or unclear legacy request preserved outside Neon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because Form 7 is intentionally not allowlisted. Do not use it as QA, subscribe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it retroactively, or contact it for marketing. Preserve it for purpose-limited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BIC review while the canonical first-genuine-lead monitor watches only durable,</w:t>
      </w:r>
    </w:p>
    <w:p>
      <w:pPr>
        <w:spacing w:after="120"/>
      </w:pPr>
      <w:r>
        <w:rPr>
          <w:rFonts w:ascii="Arial" w:hAnsi="Arial"/>
          <w:b w:val="0"/>
          <w:i w:val="0"/>
          <w:color w:val="111111"/>
          <w:sz w:val="21"/>
        </w:rPr>
        <w:t>unsuppressed, non-test Neon records with valid source and consent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5"/>
      </w:rPr>
      <w:t>OUR TOWN PROPERTIES, INC.  |  ASK MAGIC MIKE  |  INTERNAL OPERATIONS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666666"/>
        <w:sz w:val="17"/>
      </w:rPr>
      <w:t>FIRST GENUINE LEAD RESPONSE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D9A4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D9A4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636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