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2B7C5F"/>
          <w:spacing w:val="200"/>
          <w:sz w:val="28"/>
          <w:szCs w:val="28"/>
        </w:rPr>
        <w:t xml:space="preserve">CLEO TURBO</w:t>
      </w:r>
    </w:p>
    <w:p>
      <w:pPr>
        <w:pBdr>
          <w:bottom w:val="single" w:color="2B7C5F" w:sz="2" w:space="8"/>
        </w:pBdr>
        <w:spacing w:after="60"/>
        <w:jc w:val="center"/>
      </w:pPr>
    </w:p>
    <w:p>
      <w:pPr>
        <w:spacing w:after="80"/>
      </w:pPr>
    </w:p>
    <w:p>
      <w:pPr>
        <w:spacing w:after="200"/>
        <w:jc w:val="center"/>
      </w:pPr>
      <w:r>
        <w:rPr>
          <w:rFonts w:ascii="Arial" w:cs="Arial" w:eastAsia="Arial" w:hAnsi="Arial"/>
          <w:b/>
          <w:bCs/>
          <w:color w:val="1C2024"/>
          <w:sz w:val="52"/>
          <w:szCs w:val="52"/>
        </w:rPr>
        <w:t xml:space="preserve">CRM &amp; Matchmaking Engine</w:t>
      </w:r>
    </w:p>
    <w:p>
      <w:pPr>
        <w:spacing w:after="120"/>
        <w:jc w:val="center"/>
      </w:pPr>
      <w:r>
        <w:rPr>
          <w:rFonts w:ascii="Arial" w:cs="Arial" w:eastAsia="Arial" w:hAnsi="Arial"/>
          <w:color w:val="60646C"/>
          <w:sz w:val="36"/>
          <w:szCs w:val="36"/>
        </w:rPr>
        <w:t xml:space="preserve">Buildout Plan</w:t>
      </w:r>
    </w:p>
    <w:p>
      <w:pPr>
        <w:spacing w:after="80"/>
      </w:pPr>
    </w:p>
    <w:p>
      <w:pPr>
        <w:spacing w:after="80"/>
      </w:pPr>
    </w:p>
    <w:p>
      <w:pPr>
        <w:spacing w:after="80"/>
        <w:jc w:val="center"/>
      </w:pPr>
      <w:r>
        <w:rPr>
          <w:rFonts w:ascii="Arial" w:cs="Arial" w:eastAsia="Arial" w:hAnsi="Arial"/>
          <w:color w:val="60646C"/>
          <w:sz w:val="24"/>
          <w:szCs w:val="24"/>
        </w:rPr>
        <w:t xml:space="preserve">April 2026</w:t>
      </w:r>
    </w:p>
    <w:p>
      <w:pPr>
        <w:spacing w:after="80"/>
        <w:jc w:val="center"/>
      </w:pPr>
      <w:r>
        <w:rPr>
          <w:rFonts w:ascii="Arial" w:cs="Arial" w:eastAsia="Arial" w:hAnsi="Arial"/>
          <w:color w:val="60646C"/>
          <w:sz w:val="24"/>
          <w:szCs w:val="24"/>
        </w:rPr>
        <w:t xml:space="preserve">Version 1.0</w:t>
      </w: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i/>
          <w:iCs/>
          <w:color w:val="60646C"/>
          <w:sz w:val="22"/>
          <w:szCs w:val="22"/>
        </w:rPr>
        <w:t xml:space="preserve">From filtering to matchmaking — a structured plan to build CRE prospecting tools that last.</w:t>
      </w:r>
    </w:p>
    <w:p>
      <w:pPr>
        <w:sectPr>
          <w:pgSz w:w="12240" w:h="15840" w:orient="portrait"/>
          <w:pgMar w:top="1440" w:right="1440" w:bottom="1440" w:left="1440" w:header="708" w:footer="708" w:gutter="0"/>
          <w:pgNumType/>
          <w:docGrid w:linePitch="360"/>
        </w:sectPr>
      </w:pPr>
    </w:p>
    <w:p>
      <w:pPr>
        <w:pStyle w:val="Heading1"/>
      </w:pPr>
      <w:r>
        <w:t xml:space="preserve">1. Vision &amp; Guiding Principles</w:t>
      </w:r>
    </w:p>
    <w:p>
      <w:pPr>
        <w:spacing w:after="160"/>
      </w:pPr>
      <w:r>
        <w:rPr>
          <w:rFonts w:ascii="Arial" w:cs="Arial" w:eastAsia="Arial" w:hAnsi="Arial"/>
          <w:color w:val="1C2024"/>
          <w:sz w:val="22"/>
          <w:szCs w:val="22"/>
        </w:rPr>
        <w:t xml:space="preserve">Cleo Turbo is a commercial real estate prospecting platform for Ontario. The goal is to centralize property research, owner lookup, buyer/seller matching, and deal tracking into a single tool that replaces bouncing between 8+ disconnected systems.</w:t>
      </w:r>
    </w:p>
    <w:p>
      <w:pPr>
        <w:spacing w:after="160"/>
      </w:pPr>
      <w:r>
        <w:rPr>
          <w:rFonts w:ascii="Arial" w:cs="Arial" w:eastAsia="Arial" w:hAnsi="Arial"/>
          <w:color w:val="1C2024"/>
          <w:sz w:val="22"/>
          <w:szCs w:val="22"/>
        </w:rPr>
        <w:t xml:space="preserve">This document outlines the full buildout plan for transforming the existing data platform into a functional CRM with matchmaking capabilities. Every phase is designed to deliver standalone value while building toward the complete system.</w:t>
      </w:r>
    </w:p>
    <w:p>
      <w:pPr>
        <w:pStyle w:val="Heading3"/>
      </w:pPr>
      <w:r>
        <w:t xml:space="preserve">Guiding Principles</w:t>
      </w:r>
    </w:p>
    <w:p>
      <w:pPr>
        <w:pStyle w:val="ListParagraph"/>
        <w:numPr>
          <w:ilvl w:val="0"/>
          <w:numId w:val="2"/>
        </w:numPr>
        <w:spacing w:after="100"/>
      </w:pPr>
      <w:r>
        <w:rPr>
          <w:rFonts w:ascii="Arial" w:cs="Arial" w:eastAsia="Arial" w:hAnsi="Arial"/>
          <w:b/>
          <w:bCs/>
          <w:color w:val="1C2024"/>
          <w:sz w:val="22"/>
          <w:szCs w:val="22"/>
        </w:rPr>
        <w:t xml:space="preserve">Build it once, build it right.</w:t>
      </w:r>
      <w:r>
        <w:rPr>
          <w:rFonts w:ascii="Arial" w:cs="Arial" w:eastAsia="Arial" w:hAnsi="Arial"/>
          <w:color w:val="1C2024"/>
          <w:sz w:val="22"/>
          <w:szCs w:val="22"/>
        </w:rPr>
        <w:t xml:space="preserve"> Every table, every API, every component is designed for longevity and restructurability.</w:t>
      </w:r>
    </w:p>
    <w:p>
      <w:pPr>
        <w:pStyle w:val="ListParagraph"/>
        <w:numPr>
          <w:ilvl w:val="0"/>
          <w:numId w:val="2"/>
        </w:numPr>
        <w:spacing w:after="100"/>
      </w:pPr>
      <w:r>
        <w:rPr>
          <w:rFonts w:ascii="Arial" w:cs="Arial" w:eastAsia="Arial" w:hAnsi="Arial"/>
          <w:b/>
          <w:bCs/>
          <w:color w:val="1C2024"/>
          <w:sz w:val="22"/>
          <w:szCs w:val="22"/>
        </w:rPr>
        <w:t xml:space="preserve">Cleo owns the data model.</w:t>
      </w:r>
      <w:r>
        <w:rPr>
          <w:rFonts w:ascii="Arial" w:cs="Arial" w:eastAsia="Arial" w:hAnsi="Arial"/>
          <w:color w:val="1C2024"/>
          <w:sz w:val="22"/>
          <w:szCs w:val="22"/>
        </w:rPr>
        <w:t xml:space="preserve"> HubSpot is a temporary sync target, not the source of truth. The system must work without it.</w:t>
      </w:r>
    </w:p>
    <w:p>
      <w:pPr>
        <w:pStyle w:val="ListParagraph"/>
        <w:numPr>
          <w:ilvl w:val="0"/>
          <w:numId w:val="2"/>
        </w:numPr>
        <w:spacing w:after="100"/>
      </w:pPr>
      <w:r>
        <w:rPr>
          <w:rFonts w:ascii="Arial" w:cs="Arial" w:eastAsia="Arial" w:hAnsi="Arial"/>
          <w:b/>
          <w:bCs/>
          <w:color w:val="1C2024"/>
          <w:sz w:val="22"/>
          <w:szCs w:val="22"/>
        </w:rPr>
        <w:t xml:space="preserve">Property-first workflow.</w:t>
      </w:r>
      <w:r>
        <w:rPr>
          <w:rFonts w:ascii="Arial" w:cs="Arial" w:eastAsia="Arial" w:hAnsi="Arial"/>
          <w:color w:val="1C2024"/>
          <w:sz w:val="22"/>
          <w:szCs w:val="22"/>
        </w:rPr>
        <w:t xml:space="preserve"> The natural prospecting motion starts with a property, then finds the people. The UI reflects this.</w:t>
      </w:r>
    </w:p>
    <w:p>
      <w:pPr>
        <w:pStyle w:val="ListParagraph"/>
        <w:numPr>
          <w:ilvl w:val="0"/>
          <w:numId w:val="2"/>
        </w:numPr>
        <w:spacing w:after="100"/>
      </w:pPr>
      <w:r>
        <w:rPr>
          <w:rFonts w:ascii="Arial" w:cs="Arial" w:eastAsia="Arial" w:hAnsi="Arial"/>
          <w:b/>
          <w:bCs/>
          <w:color w:val="1C2024"/>
          <w:sz w:val="22"/>
          <w:szCs w:val="22"/>
        </w:rPr>
        <w:t xml:space="preserve">Two-sided opportunities.</w:t>
      </w:r>
      <w:r>
        <w:rPr>
          <w:rFonts w:ascii="Arial" w:cs="Arial" w:eastAsia="Arial" w:hAnsi="Arial"/>
          <w:color w:val="1C2024"/>
          <w:sz w:val="22"/>
          <w:szCs w:val="22"/>
        </w:rPr>
        <w:t xml:space="preserve"> Sell opportunities are properties. Buy mandates are criteria. Deals are born when they connect.</w:t>
      </w:r>
    </w:p>
    <w:p>
      <w:pPr>
        <w:pStyle w:val="ListParagraph"/>
        <w:numPr>
          <w:ilvl w:val="0"/>
          <w:numId w:val="2"/>
        </w:numPr>
        <w:spacing w:after="100"/>
      </w:pPr>
      <w:r>
        <w:rPr>
          <w:rFonts w:ascii="Arial" w:cs="Arial" w:eastAsia="Arial" w:hAnsi="Arial"/>
          <w:b/>
          <w:bCs/>
          <w:color w:val="1C2024"/>
          <w:sz w:val="22"/>
          <w:szCs w:val="22"/>
        </w:rPr>
        <w:t xml:space="preserve">Decay over deletion.</w:t>
      </w:r>
      <w:r>
        <w:rPr>
          <w:rFonts w:ascii="Arial" w:cs="Arial" w:eastAsia="Arial" w:hAnsi="Arial"/>
          <w:color w:val="1C2024"/>
          <w:sz w:val="22"/>
          <w:szCs w:val="22"/>
        </w:rPr>
        <w:t xml:space="preserve"> Nothing gets lost. Stale opportunities surface for re-engagement, not removal.</w:t>
      </w:r>
    </w:p>
    <w:p>
      <w:pPr>
        <w:pBdr>
          <w:bottom w:val="single" w:color="D0D5DD" w:sz="2" w:space="1"/>
        </w:pBdr>
        <w:spacing w:after="200" w:before="200"/>
      </w:pPr>
    </w:p>
    <w:p>
      <w:pPr>
        <w:pStyle w:val="Heading1"/>
      </w:pPr>
      <w:r>
        <w:t xml:space="preserve">2. Current State Assessment</w:t>
      </w:r>
    </w:p>
    <w:p>
      <w:pPr>
        <w:spacing w:after="160"/>
      </w:pPr>
      <w:r>
        <w:rPr>
          <w:rFonts w:ascii="Arial" w:cs="Arial" w:eastAsia="Arial" w:hAnsi="Arial"/>
          <w:color w:val="1C2024"/>
          <w:sz w:val="22"/>
          <w:szCs w:val="22"/>
        </w:rPr>
        <w:t xml:space="preserve">Before building, it helps to understand exactly what exists today and where the gaps are.</w:t>
      </w:r>
    </w:p>
    <w:p>
      <w:pPr>
        <w:pStyle w:val="Heading3"/>
      </w:pPr>
      <w:r>
        <w:t xml:space="preserve">What Already Works</w:t>
      </w:r>
    </w:p>
    <w:p>
      <w:pPr>
        <w:pStyle w:val="ListParagraph"/>
        <w:numPr>
          <w:ilvl w:val="0"/>
          <w:numId w:val="2"/>
        </w:numPr>
        <w:spacing w:after="100"/>
      </w:pPr>
      <w:r>
        <w:rPr>
          <w:rFonts w:ascii="Arial" w:cs="Arial" w:eastAsia="Arial" w:hAnsi="Arial"/>
          <w:b/>
          <w:bCs/>
          <w:color w:val="1C2024"/>
          <w:sz w:val="22"/>
          <w:szCs w:val="22"/>
        </w:rPr>
        <w:t xml:space="preserve">66,241 properties</w:t>
      </w:r>
      <w:r>
        <w:rPr>
          <w:rFonts w:ascii="Arial" w:cs="Arial" w:eastAsia="Arial" w:hAnsi="Arial"/>
          <w:color w:val="1C2024"/>
          <w:sz w:val="22"/>
          <w:szCs w:val="22"/>
        </w:rPr>
        <w:t xml:space="preserve"> with transaction history, owner linkage, and POI tenant data (21,012 branded locations)</w:t>
      </w:r>
    </w:p>
    <w:p>
      <w:pPr>
        <w:pStyle w:val="ListParagraph"/>
        <w:numPr>
          <w:ilvl w:val="0"/>
          <w:numId w:val="2"/>
        </w:numPr>
        <w:spacing w:after="100"/>
      </w:pPr>
      <w:r>
        <w:rPr>
          <w:rFonts w:ascii="Arial" w:cs="Arial" w:eastAsia="Arial" w:hAnsi="Arial"/>
          <w:b/>
          <w:bCs/>
          <w:color w:val="1C2024"/>
          <w:sz w:val="22"/>
          <w:szCs w:val="22"/>
        </w:rPr>
        <w:t xml:space="preserve">67,257 contacts</w:t>
      </w:r>
      <w:r>
        <w:rPr>
          <w:rFonts w:ascii="Arial" w:cs="Arial" w:eastAsia="Arial" w:hAnsi="Arial"/>
          <w:color w:val="1C2024"/>
          <w:sz w:val="22"/>
          <w:szCs w:val="22"/>
        </w:rPr>
        <w:t xml:space="preserve"> and </w:t>
      </w:r>
      <w:r>
        <w:rPr>
          <w:rFonts w:ascii="Arial" w:cs="Arial" w:eastAsia="Arial" w:hAnsi="Arial"/>
          <w:b/>
          <w:bCs/>
          <w:color w:val="1C2024"/>
          <w:sz w:val="22"/>
          <w:szCs w:val="22"/>
        </w:rPr>
        <w:t xml:space="preserve">110,304 groups</w:t>
      </w:r>
      <w:r>
        <w:rPr>
          <w:rFonts w:ascii="Arial" w:cs="Arial" w:eastAsia="Arial" w:hAnsi="Arial"/>
          <w:color w:val="1C2024"/>
          <w:sz w:val="22"/>
          <w:szCs w:val="22"/>
        </w:rPr>
        <w:t xml:space="preserve"> extracted from Realtrack and GeoWarehouse transaction records</w:t>
      </w:r>
    </w:p>
    <w:p>
      <w:pPr>
        <w:pStyle w:val="ListParagraph"/>
        <w:numPr>
          <w:ilvl w:val="0"/>
          <w:numId w:val="2"/>
        </w:numPr>
        <w:spacing w:after="100"/>
      </w:pPr>
      <w:r>
        <w:rPr>
          <w:rFonts w:ascii="Arial" w:cs="Arial" w:eastAsia="Arial" w:hAnsi="Arial"/>
          <w:b/>
          <w:bCs/>
          <w:color w:val="1C2024"/>
          <w:sz w:val="22"/>
          <w:szCs w:val="22"/>
        </w:rPr>
        <w:t xml:space="preserve">Group analytics pre-computed</w:t>
      </w:r>
      <w:r>
        <w:rPr>
          <w:rFonts w:ascii="Arial" w:cs="Arial" w:eastAsia="Arial" w:hAnsi="Arial"/>
          <w:color w:val="1C2024"/>
          <w:sz w:val="22"/>
          <w:szCs w:val="22"/>
        </w:rPr>
        <w:t xml:space="preserve"> — portfolio value, property type mix, geographic radius, transaction velocity, buy/sell activity over 12m/36m</w:t>
      </w:r>
    </w:p>
    <w:p>
      <w:pPr>
        <w:pStyle w:val="ListParagraph"/>
        <w:numPr>
          <w:ilvl w:val="0"/>
          <w:numId w:val="2"/>
        </w:numPr>
        <w:spacing w:after="100"/>
      </w:pPr>
      <w:r>
        <w:rPr>
          <w:rFonts w:ascii="Arial" w:cs="Arial" w:eastAsia="Arial" w:hAnsi="Arial"/>
          <w:b/>
          <w:bCs/>
          <w:color w:val="1C2024"/>
          <w:sz w:val="22"/>
          <w:szCs w:val="22"/>
        </w:rPr>
        <w:t xml:space="preserve">Backend filtering infrastructure</w:t>
      </w:r>
      <w:r>
        <w:rPr>
          <w:rFonts w:ascii="Arial" w:cs="Arial" w:eastAsia="Arial" w:hAnsi="Arial"/>
          <w:color w:val="1C2024"/>
          <w:sz w:val="22"/>
          <w:szCs w:val="22"/>
        </w:rPr>
        <w:t xml:space="preserve"> — the Groups API already supports sorting by 15+ analytics dimensions; the frontend just doesn’t expose them</w:t>
      </w:r>
    </w:p>
    <w:p>
      <w:pPr>
        <w:pStyle w:val="ListParagraph"/>
        <w:numPr>
          <w:ilvl w:val="0"/>
          <w:numId w:val="2"/>
        </w:numPr>
        <w:spacing w:after="100"/>
      </w:pPr>
      <w:r>
        <w:rPr>
          <w:rFonts w:ascii="Arial" w:cs="Arial" w:eastAsia="Arial" w:hAnsi="Arial"/>
          <w:b/>
          <w:bCs/>
          <w:color w:val="1C2024"/>
          <w:sz w:val="22"/>
          <w:szCs w:val="22"/>
        </w:rPr>
        <w:t xml:space="preserve">Full-text search</w:t>
      </w:r>
      <w:r>
        <w:rPr>
          <w:rFonts w:ascii="Arial" w:cs="Arial" w:eastAsia="Arial" w:hAnsi="Arial"/>
          <w:color w:val="1C2024"/>
          <w:sz w:val="22"/>
          <w:szCs w:val="22"/>
        </w:rPr>
        <w:t xml:space="preserve"> via FTS5 on properties, contacts, groups, and transactions</w:t>
      </w:r>
    </w:p>
    <w:p>
      <w:pPr>
        <w:pStyle w:val="ListParagraph"/>
        <w:numPr>
          <w:ilvl w:val="0"/>
          <w:numId w:val="2"/>
        </w:numPr>
        <w:spacing w:after="100"/>
      </w:pPr>
      <w:r>
        <w:rPr>
          <w:rFonts w:ascii="Arial" w:cs="Arial" w:eastAsia="Arial" w:hAnsi="Arial"/>
          <w:b/>
          <w:bCs/>
          <w:color w:val="1C2024"/>
          <w:sz w:val="22"/>
          <w:szCs w:val="22"/>
        </w:rPr>
        <w:t xml:space="preserve">CRM scaffolding</w:t>
      </w:r>
      <w:r>
        <w:rPr>
          <w:rFonts w:ascii="Arial" w:cs="Arial" w:eastAsia="Arial" w:hAnsi="Arial"/>
          <w:color w:val="1C2024"/>
          <w:sz w:val="22"/>
          <w:szCs w:val="22"/>
        </w:rPr>
        <w:t xml:space="preserve"> — notes system, lists, basic deals table (currently unused), status tracking (pool/engaged)</w:t>
      </w:r>
    </w:p>
    <w:p>
      <w:pPr>
        <w:pStyle w:val="ListParagraph"/>
        <w:numPr>
          <w:ilvl w:val="0"/>
          <w:numId w:val="2"/>
        </w:numPr>
        <w:spacing w:after="100"/>
      </w:pPr>
      <w:r>
        <w:rPr>
          <w:rFonts w:ascii="Arial" w:cs="Arial" w:eastAsia="Arial" w:hAnsi="Arial"/>
          <w:b/>
          <w:bCs/>
          <w:color w:val="1C2024"/>
          <w:sz w:val="22"/>
          <w:szCs w:val="22"/>
        </w:rPr>
        <w:t xml:space="preserve">HubSpot-ready fields</w:t>
      </w:r>
      <w:r>
        <w:rPr>
          <w:rFonts w:ascii="Arial" w:cs="Arial" w:eastAsia="Arial" w:hAnsi="Arial"/>
          <w:color w:val="1C2024"/>
          <w:sz w:val="22"/>
          <w:szCs w:val="22"/>
        </w:rPr>
        <w:t xml:space="preserve"> — both contacts and groups tables already have hubspot_id columns</w:t>
      </w:r>
    </w:p>
    <w:p>
      <w:pPr>
        <w:pStyle w:val="Heading3"/>
      </w:pPr>
      <w:r>
        <w:t xml:space="preserve">What’s Missing</w:t>
      </w:r>
    </w:p>
    <w:p>
      <w:pPr>
        <w:pStyle w:val="ListParagraph"/>
        <w:numPr>
          <w:ilvl w:val="0"/>
          <w:numId w:val="2"/>
        </w:numPr>
        <w:spacing w:after="100"/>
      </w:pPr>
      <w:r>
        <w:rPr>
          <w:rFonts w:ascii="Arial" w:cs="Arial" w:eastAsia="Arial" w:hAnsi="Arial"/>
          <w:color w:val="1C2024"/>
          <w:sz w:val="22"/>
          <w:szCs w:val="22"/>
        </w:rPr>
        <w:t xml:space="preserve">No filtering UI on Groups or Contacts pages (the data is there, the controls aren’t)</w:t>
      </w:r>
    </w:p>
    <w:p>
      <w:pPr>
        <w:pStyle w:val="ListParagraph"/>
        <w:numPr>
          <w:ilvl w:val="0"/>
          <w:numId w:val="2"/>
        </w:numPr>
        <w:spacing w:after="100"/>
      </w:pPr>
      <w:r>
        <w:rPr>
          <w:rFonts w:ascii="Arial" w:cs="Arial" w:eastAsia="Arial" w:hAnsi="Arial"/>
          <w:color w:val="1C2024"/>
          <w:sz w:val="22"/>
          <w:szCs w:val="22"/>
        </w:rPr>
        <w:t xml:space="preserve">No mini-map showing a group’s or contact’s property footprint</w:t>
      </w:r>
    </w:p>
    <w:p>
      <w:pPr>
        <w:pStyle w:val="ListParagraph"/>
        <w:numPr>
          <w:ilvl w:val="0"/>
          <w:numId w:val="2"/>
        </w:numPr>
        <w:spacing w:after="100"/>
      </w:pPr>
      <w:r>
        <w:rPr>
          <w:rFonts w:ascii="Arial" w:cs="Arial" w:eastAsia="Arial" w:hAnsi="Arial"/>
          <w:color w:val="1C2024"/>
          <w:sz w:val="22"/>
          <w:szCs w:val="22"/>
        </w:rPr>
        <w:t xml:space="preserve">No structured activity logging (only free-text notes)</w:t>
      </w:r>
    </w:p>
    <w:p>
      <w:pPr>
        <w:pStyle w:val="ListParagraph"/>
        <w:numPr>
          <w:ilvl w:val="0"/>
          <w:numId w:val="2"/>
        </w:numPr>
        <w:spacing w:after="100"/>
      </w:pPr>
      <w:r>
        <w:rPr>
          <w:rFonts w:ascii="Arial" w:cs="Arial" w:eastAsia="Arial" w:hAnsi="Arial"/>
          <w:color w:val="1C2024"/>
          <w:sz w:val="22"/>
          <w:szCs w:val="22"/>
        </w:rPr>
        <w:t xml:space="preserve">No opportunity/mandate tracking system</w:t>
      </w:r>
    </w:p>
    <w:p>
      <w:pPr>
        <w:pStyle w:val="ListParagraph"/>
        <w:numPr>
          <w:ilvl w:val="0"/>
          <w:numId w:val="2"/>
        </w:numPr>
        <w:spacing w:after="100"/>
      </w:pPr>
      <w:r>
        <w:rPr>
          <w:rFonts w:ascii="Arial" w:cs="Arial" w:eastAsia="Arial" w:hAnsi="Arial"/>
          <w:color w:val="1C2024"/>
          <w:sz w:val="22"/>
          <w:szCs w:val="22"/>
        </w:rPr>
        <w:t xml:space="preserve">No matchmaking between buyers and sellers</w:t>
      </w:r>
    </w:p>
    <w:p>
      <w:pPr>
        <w:pStyle w:val="ListParagraph"/>
        <w:numPr>
          <w:ilvl w:val="0"/>
          <w:numId w:val="2"/>
        </w:numPr>
        <w:spacing w:after="100"/>
      </w:pPr>
      <w:r>
        <w:rPr>
          <w:rFonts w:ascii="Arial" w:cs="Arial" w:eastAsia="Arial" w:hAnsi="Arial"/>
          <w:color w:val="1C2024"/>
          <w:sz w:val="22"/>
          <w:szCs w:val="22"/>
        </w:rPr>
        <w:t xml:space="preserve">No HubSpot sync mechanism</w:t>
      </w:r>
    </w:p>
    <w:p>
      <w:pPr>
        <w:pStyle w:val="ListParagraph"/>
        <w:numPr>
          <w:ilvl w:val="0"/>
          <w:numId w:val="2"/>
        </w:numPr>
        <w:spacing w:after="100"/>
      </w:pPr>
      <w:r>
        <w:rPr>
          <w:rFonts w:ascii="Arial" w:cs="Arial" w:eastAsia="Arial" w:hAnsi="Arial"/>
          <w:color w:val="1C2024"/>
          <w:sz w:val="22"/>
          <w:szCs w:val="22"/>
        </w:rPr>
        <w:t xml:space="preserve">No unified asset class taxonomy (Realtrack types are flat and crude; HubSpot categories are well-structured but disconnected)</w:t>
      </w:r>
    </w:p>
    <w:p>
      <w:pPr>
        <w:pStyle w:val="ListParagraph"/>
        <w:numPr>
          <w:ilvl w:val="0"/>
          <w:numId w:val="2"/>
        </w:numPr>
        <w:spacing w:after="100"/>
      </w:pPr>
      <w:r>
        <w:rPr>
          <w:rFonts w:ascii="Arial" w:cs="Arial" w:eastAsia="Arial" w:hAnsi="Arial"/>
          <w:color w:val="1C2024"/>
          <w:sz w:val="22"/>
          <w:szCs w:val="22"/>
        </w:rPr>
        <w:t xml:space="preserve">Deal stages in Cleo don’t match HubSpot’s Sellers Pipeline</w:t>
      </w:r>
    </w:p>
    <w:p>
      <w:pPr>
        <w:pBdr>
          <w:bottom w:val="single" w:color="D0D5DD" w:sz="2" w:space="1"/>
        </w:pBdr>
        <w:spacing w:after="200" w:before="200"/>
      </w:pPr>
    </w:p>
    <w:p>
      <w:pPr>
        <w:pStyle w:val="Heading1"/>
      </w:pPr>
      <w:r>
        <w:t xml:space="preserve">3. Asset Class Taxonomy</w:t>
      </w:r>
    </w:p>
    <w:p>
      <w:pPr>
        <w:spacing w:after="160"/>
      </w:pPr>
      <w:r>
        <w:rPr>
          <w:rFonts w:ascii="Arial" w:cs="Arial" w:eastAsia="Arial" w:hAnsi="Arial"/>
          <w:color w:val="1C2024"/>
          <w:sz w:val="22"/>
          <w:szCs w:val="22"/>
        </w:rPr>
        <w:t xml:space="preserve">The asset class system is foundational. It drives property classification, buy mandate criteria, and matchmaking logic. Getting this right means everything downstream works.</w:t>
      </w:r>
    </w:p>
    <w:p>
      <w:pPr>
        <w:pStyle w:val="Heading3"/>
      </w:pPr>
      <w:r>
        <w:t xml:space="preserve">The Problem</w:t>
      </w:r>
    </w:p>
    <w:p>
      <w:pPr>
        <w:spacing w:after="160"/>
      </w:pPr>
      <w:r>
        <w:rPr>
          <w:rFonts w:ascii="Arial" w:cs="Arial" w:eastAsia="Arial" w:hAnsi="Arial"/>
          <w:color w:val="1C2024"/>
          <w:sz w:val="22"/>
          <w:szCs w:val="22"/>
        </w:rPr>
        <w:t xml:space="preserve">Three disconnected classification systems exist today:</w:t>
      </w:r>
    </w:p>
    <w:p>
      <w:pPr>
        <w:pStyle w:val="ListParagraph"/>
        <w:numPr>
          <w:ilvl w:val="0"/>
          <w:numId w:val="3"/>
        </w:numPr>
        <w:spacing w:after="100"/>
      </w:pPr>
      <w:r>
        <w:rPr>
          <w:rFonts w:ascii="Arial" w:cs="Arial" w:eastAsia="Arial" w:hAnsi="Arial"/>
          <w:b/>
          <w:bCs/>
          <w:color w:val="1C2024"/>
          <w:sz w:val="22"/>
          <w:szCs w:val="22"/>
        </w:rPr>
        <w:t xml:space="preserve">Realtrack primary_property_type</w:t>
      </w:r>
      <w:r>
        <w:rPr>
          <w:rFonts w:ascii="Arial" w:cs="Arial" w:eastAsia="Arial" w:hAnsi="Arial"/>
          <w:color w:val="1C2024"/>
          <w:sz w:val="22"/>
          <w:szCs w:val="22"/>
        </w:rPr>
        <w:t xml:space="preserve"> — flat, crude labels (e.g., “retail”, “comm-ind-land”, “farm”). No subcategories. Covers all 66K properties.</w:t>
      </w:r>
    </w:p>
    <w:p>
      <w:pPr>
        <w:pStyle w:val="ListParagraph"/>
        <w:numPr>
          <w:ilvl w:val="0"/>
          <w:numId w:val="3"/>
        </w:numPr>
        <w:spacing w:after="100"/>
      </w:pPr>
      <w:r>
        <w:rPr>
          <w:rFonts w:ascii="Arial" w:cs="Arial" w:eastAsia="Arial" w:hAnsi="Arial"/>
          <w:b/>
          <w:bCs/>
          <w:color w:val="1C2024"/>
          <w:sz w:val="22"/>
          <w:szCs w:val="22"/>
        </w:rPr>
        <w:t xml:space="preserve">GeoWarehouse property codes</w:t>
      </w:r>
      <w:r>
        <w:rPr>
          <w:rFonts w:ascii="Arial" w:cs="Arial" w:eastAsia="Arial" w:hAnsi="Arial"/>
          <w:color w:val="1C2024"/>
          <w:sz w:val="22"/>
          <w:szCs w:val="22"/>
        </w:rPr>
        <w:t xml:space="preserve"> — very granular MPAC codes (e.g., “430 – Neighbourhood shopping centre”). Only covers 728 assessments currently.</w:t>
      </w:r>
    </w:p>
    <w:p>
      <w:pPr>
        <w:pStyle w:val="ListParagraph"/>
        <w:numPr>
          <w:ilvl w:val="0"/>
          <w:numId w:val="3"/>
        </w:numPr>
        <w:spacing w:after="100"/>
      </w:pPr>
      <w:r>
        <w:rPr>
          <w:rFonts w:ascii="Arial" w:cs="Arial" w:eastAsia="Arial" w:hAnsi="Arial"/>
          <w:b/>
          <w:bCs/>
          <w:color w:val="1C2024"/>
          <w:sz w:val="22"/>
          <w:szCs w:val="22"/>
        </w:rPr>
        <w:t xml:space="preserve">HubSpot all_real_estate_classes</w:t>
      </w:r>
      <w:r>
        <w:rPr>
          <w:rFonts w:ascii="Arial" w:cs="Arial" w:eastAsia="Arial" w:hAnsi="Arial"/>
          <w:color w:val="1C2024"/>
          <w:sz w:val="22"/>
          <w:szCs w:val="22"/>
        </w:rPr>
        <w:t xml:space="preserve"> — well-structured two-tier system with 8 broad categories and 31 subcategories. Manually curated. This is the gold standard.</w:t>
      </w:r>
    </w:p>
    <w:p>
      <w:pPr>
        <w:pStyle w:val="Heading3"/>
      </w:pPr>
      <w:r>
        <w:t xml:space="preserve">The Solution</w:t>
      </w:r>
    </w:p>
    <w:p>
      <w:pPr>
        <w:spacing w:after="160"/>
      </w:pPr>
      <w:r>
        <w:rPr>
          <w:rFonts w:ascii="Arial" w:cs="Arial" w:eastAsia="Arial" w:hAnsi="Arial"/>
          <w:color w:val="1C2024"/>
          <w:sz w:val="22"/>
          <w:szCs w:val="22"/>
        </w:rPr>
        <w:t xml:space="preserve">Adopt the HubSpot categories as the canonical taxonomy in Cleo. Create an asset_classes reference table. Map Realtrack types to broad categories automatically. Leave subcategories as manually assigned (no auto-mapping from GW codes to avoid misclassification).</w:t>
      </w:r>
    </w:p>
    <w:p>
      <w:pPr>
        <w:pStyle w:val="Heading3"/>
      </w:pPr>
      <w:r>
        <w:t xml:space="preserve">Canonical Asset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Broad Category</w:t>
            </w:r>
          </w:p>
        </w:tc>
        <w:tc>
          <w:tcPr>
            <w:tcW w:type="dxa" w:w="456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Subcategories</w:t>
            </w:r>
          </w:p>
        </w:tc>
        <w:tc>
          <w:tcPr>
            <w:tcW w:type="dxa" w:w="30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RT Mapping</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Retail</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Neighbourhood Plaza, Grocery Anchored Plaza, Stand-Alone QSR, Stand-Alone Grocery, Stand-Alone Box, Super Centre, Mall, Flex, Auto Dealership</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retail, restaurant-bar</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Industrial</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Small Bay, Warehouse, Manufacturing, Special Purpose</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industrial</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Multifamily</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Under 6 Units, 7 to 14 Units, 15 Units+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multifamily</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Office</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General, Medical</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office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Land</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Car Wash Site, Light Industrial, Heavy Industrial, Retail, Gas Bar, Low/Med/High Density Residential</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comm-ind-land, res-land, other-land</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Agricultural</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Cash Crop, Dairy Farm, Special Purpose</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farm</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Mixed Use</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(no subcategories)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other-bldg (partial)</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Hospitality</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(no subcategories)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hotel-motel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7C5F" w:sz="1"/>
              <w:left w:val="single" w:color="2B7C5F" w:sz="6"/>
              <w:bottom w:val="single" w:color="2B7C5F" w:sz="1"/>
              <w:right w:val="single" w:color="2B7C5F" w:sz="1"/>
            </w:tcBorders>
            <w:shd w:fill="E6F4ED" w:val="clear"/>
            <w:tcMar>
              <w:top w:type="dxa" w:w="120"/>
              <w:left w:type="dxa" w:w="200"/>
              <w:bottom w:type="dxa" w:w="120"/>
              <w:right w:type="dxa" w:w="200"/>
            </w:tcMar>
          </w:tcPr>
          <w:p>
            <w:pPr>
              <w:spacing w:after="80"/>
            </w:pPr>
            <w:r>
              <w:rPr>
                <w:rFonts w:ascii="Arial" w:cs="Arial" w:eastAsia="Arial" w:hAnsi="Arial"/>
                <w:b/>
                <w:bCs/>
                <w:color w:val="2B7C5F"/>
                <w:sz w:val="22"/>
                <w:szCs w:val="22"/>
              </w:rPr>
              <w:t xml:space="preserve">Design Decision: Manual Subcategories Only</w:t>
            </w:r>
          </w:p>
          <w:p>
            <w:pPr>
              <w:spacing w:after="60"/>
            </w:pPr>
            <w:r>
              <w:rPr>
                <w:rFonts w:ascii="Arial" w:cs="Arial" w:eastAsia="Arial" w:hAnsi="Arial"/>
                <w:color w:val="1C2024"/>
                <w:sz w:val="20"/>
                <w:szCs w:val="20"/>
              </w:rPr>
              <w:t xml:space="preserve">GeoWarehouse property codes are granular enough to infer subcategories in many cases (e.g., MPAC code 430 = Neighbourhood Plaza). However, the risk of misclassification outweighs the convenience. Subcategories will be populated manually or left null. The broad category auto-mapping from Realtrack is reliable and covers all 66K properties.</w:t>
            </w:r>
          </w:p>
        </w:tc>
      </w:tr>
    </w:tbl>
    <w:p>
      <w:pPr>
        <w:spacing w:after="80"/>
      </w:pPr>
    </w:p>
    <w:p>
      <w:pPr>
        <w:pStyle w:val="Heading3"/>
      </w:pPr>
      <w:r>
        <w:t xml:space="preserve">Database Changes</w:t>
      </w:r>
    </w:p>
    <w:p>
      <w:pPr>
        <w:spacing w:after="160"/>
      </w:pPr>
      <w:r>
        <w:rPr>
          <w:rFonts w:ascii="Arial" w:cs="Arial" w:eastAsia="Arial" w:hAnsi="Arial"/>
          <w:color w:val="1C2024"/>
          <w:sz w:val="22"/>
          <w:szCs w:val="22"/>
        </w:rPr>
        <w:t xml:space="preserve">New table: asset_classes (id, label, parent_id). Seed with the 8 broad categories and 31 subcategories. Add two columns to the properties table: asset_class (broad, auto-populated from RT mapping) and asset_subclass (specific, nullable, manually set). These are derived-table-safe since they can be re-populated from the mapping on compiler rebuild.</w:t>
      </w:r>
    </w:p>
    <w:p>
      <w:pPr>
        <w:pBdr>
          <w:bottom w:val="single" w:color="D0D5DD" w:sz="2" w:space="1"/>
        </w:pBdr>
        <w:spacing w:after="200" w:before="200"/>
      </w:pPr>
    </w:p>
    <w:p>
      <w:pPr>
        <w:pStyle w:val="Heading1"/>
      </w:pPr>
      <w:r>
        <w:t xml:space="preserve">4. Filtering Engine</w:t>
      </w:r>
    </w:p>
    <w:p>
      <w:pPr>
        <w:spacing w:after="160"/>
      </w:pPr>
      <w:r>
        <w:rPr>
          <w:rFonts w:ascii="Arial" w:cs="Arial" w:eastAsia="Arial" w:hAnsi="Arial"/>
          <w:color w:val="1C2024"/>
          <w:sz w:val="22"/>
          <w:szCs w:val="22"/>
        </w:rPr>
        <w:t xml:space="preserve">This is the highest-value work with the least risk. The backend already supports most of these queries; we’re building the frontend controls to expose them.</w:t>
      </w:r>
    </w:p>
    <w:p>
      <w:pPr>
        <w:pStyle w:val="Heading2"/>
      </w:pPr>
      <w:r>
        <w:t xml:space="preserve">4a. Groups Page Filters</w:t>
      </w:r>
    </w:p>
    <w:p>
      <w:pPr>
        <w:spacing w:after="160"/>
      </w:pPr>
      <w:r>
        <w:rPr>
          <w:rFonts w:ascii="Arial" w:cs="Arial" w:eastAsia="Arial" w:hAnsi="Arial"/>
          <w:color w:val="1C2024"/>
          <w:sz w:val="22"/>
          <w:szCs w:val="22"/>
        </w:rPr>
        <w:t xml:space="preserve">The Groups page is the primary prospecting surface. Filters here answer questions like: “Show me all groups that own 2+ Shoppers Drug Marts, with a portfolio between $50M–$300M, and properties 300+ km from their HQ.”</w:t>
      </w:r>
    </w:p>
    <w:p>
      <w:pPr>
        <w:pStyle w:val="Heading3"/>
      </w:pPr>
      <w:r>
        <w:t xml:space="preserve">Filter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18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6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2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Backend Status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Portfolio Value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Range (min/max)</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group_analytics.total_assessed_value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Sort exists, filter needs adding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Property Count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Range (min/max)</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groups.property_count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min_properties filter exists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Asset Class Mix</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Multi-select</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Derived from properties via asset_class</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New query needed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Brand Presence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Brand + min count</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JOIN properties → pois, COUNT by brand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New query needed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Geographic Radius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Range (min/max km)</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group_analytics.geographic_radius_km</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Sort exists, filter needs adding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Max Distance from HQ</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Min threshold (km)</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group_analytics.max_distance_from_hq_km</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Sort exists, filter needs adding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Region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Multi-select</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group_analytics.regions (JSON)</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New query needed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Transaction Velocity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Range (txns/year)</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group_analytics.txns_per_year</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Sort exists, filter needs adding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Net Acquisitions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Range</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group_analytics.net_acquisitions</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Sort exists, filter needs adding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Status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Select (pool/engaged)</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groups.status</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Filter exists</w:t>
            </w:r>
          </w:p>
        </w:tc>
      </w:tr>
    </w:tbl>
    <w:p>
      <w:pPr>
        <w:spacing w:after="80"/>
      </w:pPr>
    </w:p>
    <w:p>
      <w:pPr>
        <w:pStyle w:val="Heading3"/>
      </w:pPr>
      <w:r>
        <w:t xml:space="preserve">UI Pattern</w:t>
      </w:r>
    </w:p>
    <w:p>
      <w:pPr>
        <w:spacing w:after="160"/>
      </w:pPr>
      <w:r>
        <w:rPr>
          <w:rFonts w:ascii="Arial" w:cs="Arial" w:eastAsia="Arial" w:hAnsi="Arial"/>
          <w:color w:val="1C2024"/>
          <w:sz w:val="22"/>
          <w:szCs w:val="22"/>
        </w:rPr>
        <w:t xml:space="preserve">A collapsible filter panel on the left side of the Groups page. Starts collapsed with a “Filters” button. When open, shows all filter controls vertically. Active filters show as pills/badges above the table. Each filter can be cleared individually or all at once. Filter state persists in URL query params so filtered views are shareable/bookmarkable.</w:t>
      </w:r>
    </w:p>
    <w:p>
      <w:pPr>
        <w:pStyle w:val="Heading3"/>
      </w:pPr>
      <w:r>
        <w:t xml:space="preserve">Backend Work</w:t>
      </w:r>
    </w:p>
    <w:p>
      <w:pPr>
        <w:pStyle w:val="ListParagraph"/>
        <w:numPr>
          <w:ilvl w:val="0"/>
          <w:numId w:val="2"/>
        </w:numPr>
        <w:spacing w:after="100"/>
      </w:pPr>
      <w:r>
        <w:rPr>
          <w:rFonts w:ascii="Arial" w:cs="Arial" w:eastAsia="Arial" w:hAnsi="Arial"/>
          <w:b/>
          <w:bCs/>
          <w:color w:val="1C2024"/>
          <w:sz w:val="22"/>
          <w:szCs w:val="22"/>
        </w:rPr>
        <w:t xml:space="preserve">Brand count filter</w:t>
      </w:r>
      <w:r>
        <w:rPr>
          <w:rFonts w:ascii="Arial" w:cs="Arial" w:eastAsia="Arial" w:hAnsi="Arial"/>
          <w:color w:val="1C2024"/>
          <w:sz w:val="22"/>
          <w:szCs w:val="22"/>
        </w:rPr>
        <w:t xml:space="preserve"> — new endpoint or parameter on GET /groups that accepts brand name + min count. Requires JOIN through properties → pois.</w:t>
      </w:r>
    </w:p>
    <w:p>
      <w:pPr>
        <w:pStyle w:val="ListParagraph"/>
        <w:numPr>
          <w:ilvl w:val="0"/>
          <w:numId w:val="2"/>
        </w:numPr>
        <w:spacing w:after="100"/>
      </w:pPr>
      <w:r>
        <w:rPr>
          <w:rFonts w:ascii="Arial" w:cs="Arial" w:eastAsia="Arial" w:hAnsi="Arial"/>
          <w:b/>
          <w:bCs/>
          <w:color w:val="1C2024"/>
          <w:sz w:val="22"/>
          <w:szCs w:val="22"/>
        </w:rPr>
        <w:t xml:space="preserve">Asset class mix filter</w:t>
      </w:r>
      <w:r>
        <w:rPr>
          <w:rFonts w:ascii="Arial" w:cs="Arial" w:eastAsia="Arial" w:hAnsi="Arial"/>
          <w:color w:val="1C2024"/>
          <w:sz w:val="22"/>
          <w:szCs w:val="22"/>
        </w:rPr>
        <w:t xml:space="preserve"> — filter groups that own at least N properties of asset class X. Similar join pattern.</w:t>
      </w:r>
    </w:p>
    <w:p>
      <w:pPr>
        <w:pStyle w:val="ListParagraph"/>
        <w:numPr>
          <w:ilvl w:val="0"/>
          <w:numId w:val="2"/>
        </w:numPr>
        <w:spacing w:after="100"/>
      </w:pPr>
      <w:r>
        <w:rPr>
          <w:rFonts w:ascii="Arial" w:cs="Arial" w:eastAsia="Arial" w:hAnsi="Arial"/>
          <w:b/>
          <w:bCs/>
          <w:color w:val="1C2024"/>
          <w:sz w:val="22"/>
          <w:szCs w:val="22"/>
        </w:rPr>
        <w:t xml:space="preserve">Range filters</w:t>
      </w:r>
      <w:r>
        <w:rPr>
          <w:rFonts w:ascii="Arial" w:cs="Arial" w:eastAsia="Arial" w:hAnsi="Arial"/>
          <w:color w:val="1C2024"/>
          <w:sz w:val="22"/>
          <w:szCs w:val="22"/>
        </w:rPr>
        <w:t xml:space="preserve"> — add min_*/max_* query params for portfolio value, geographic radius, velocity, net acquisitions.</w:t>
      </w:r>
    </w:p>
    <w:p>
      <w:pPr>
        <w:pStyle w:val="ListParagraph"/>
        <w:numPr>
          <w:ilvl w:val="0"/>
          <w:numId w:val="2"/>
        </w:numPr>
        <w:spacing w:after="100"/>
      </w:pPr>
      <w:r>
        <w:rPr>
          <w:rFonts w:ascii="Arial" w:cs="Arial" w:eastAsia="Arial" w:hAnsi="Arial"/>
          <w:b/>
          <w:bCs/>
          <w:color w:val="1C2024"/>
          <w:sz w:val="22"/>
          <w:szCs w:val="22"/>
        </w:rPr>
        <w:t xml:space="preserve">Region filter</w:t>
      </w:r>
      <w:r>
        <w:rPr>
          <w:rFonts w:ascii="Arial" w:cs="Arial" w:eastAsia="Arial" w:hAnsi="Arial"/>
          <w:color w:val="1C2024"/>
          <w:sz w:val="22"/>
          <w:szCs w:val="22"/>
        </w:rPr>
        <w:t xml:space="preserve"> — query the JSON regions field in group_analytics. SQLite json_each() for matching.</w:t>
      </w:r>
    </w:p>
    <w:p>
      <w:pPr>
        <w:pStyle w:val="Heading2"/>
      </w:pPr>
      <w:r>
        <w:t xml:space="preserve">4b. Contacts Page Filters</w:t>
      </w:r>
    </w:p>
    <w:p>
      <w:pPr>
        <w:spacing w:after="160"/>
      </w:pPr>
      <w:r>
        <w:rPr>
          <w:rFonts w:ascii="Arial" w:cs="Arial" w:eastAsia="Arial" w:hAnsi="Arial"/>
          <w:color w:val="1C2024"/>
          <w:sz w:val="22"/>
          <w:szCs w:val="22"/>
        </w:rPr>
        <w:t xml:space="preserve">Contacts filtering answers: “Find all contacts who were involved in retail transactions in the GTA” or “Show me contacts with 5+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22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Status</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Select (pool/engaged)</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contacts.status</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Transaction Count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Range (min/max)</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contacts.transaction_count</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Asset Classes Involved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Multi-select</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JOIN transaction_parties → transactions → properties</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Region</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Multi-select</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JOIN transaction_parties → transactions (region)</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Company / Group</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Search</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contacts.company_name or current_group_id</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Contact Type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Multi-select</w:t>
            </w:r>
          </w:p>
        </w:tc>
        <w:tc>
          <w:tcPr>
            <w:tcW w:type="dxa" w:w="4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New field (maps to HubSpot type_of_contact)</w:t>
            </w:r>
          </w:p>
        </w:tc>
      </w:tr>
    </w:tbl>
    <w:p>
      <w:pPr>
        <w:spacing w:after="80"/>
      </w:pPr>
    </w:p>
    <w:p>
      <w:pPr>
        <w:pStyle w:val="Heading2"/>
      </w:pPr>
      <w:r>
        <w:t xml:space="preserve">4c. Properties Page Filters</w:t>
      </w:r>
    </w:p>
    <w:p>
      <w:pPr>
        <w:spacing w:after="160"/>
      </w:pPr>
      <w:r>
        <w:rPr>
          <w:rFonts w:ascii="Arial" w:cs="Arial" w:eastAsia="Arial" w:hAnsi="Arial"/>
          <w:color w:val="1C2024"/>
          <w:sz w:val="22"/>
          <w:szCs w:val="22"/>
        </w:rPr>
        <w:t xml:space="preserve">The Properties page already has category and brand filters. Enhancements:</w:t>
      </w:r>
    </w:p>
    <w:p>
      <w:pPr>
        <w:pStyle w:val="ListParagraph"/>
        <w:numPr>
          <w:ilvl w:val="0"/>
          <w:numId w:val="2"/>
        </w:numPr>
        <w:spacing w:after="100"/>
      </w:pPr>
      <w:r>
        <w:rPr>
          <w:rFonts w:ascii="Arial" w:cs="Arial" w:eastAsia="Arial" w:hAnsi="Arial"/>
          <w:b/>
          <w:bCs/>
          <w:color w:val="1C2024"/>
          <w:sz w:val="22"/>
          <w:szCs w:val="22"/>
        </w:rPr>
        <w:t xml:space="preserve">Replace “category” dropdown with asset class filter</w:t>
      </w:r>
      <w:r>
        <w:rPr>
          <w:rFonts w:ascii="Arial" w:cs="Arial" w:eastAsia="Arial" w:hAnsi="Arial"/>
          <w:color w:val="1C2024"/>
          <w:sz w:val="22"/>
          <w:szCs w:val="22"/>
        </w:rPr>
        <w:t xml:space="preserve"> using the new canonical taxonomy</w:t>
      </w:r>
    </w:p>
    <w:p>
      <w:pPr>
        <w:pStyle w:val="ListParagraph"/>
        <w:numPr>
          <w:ilvl w:val="0"/>
          <w:numId w:val="2"/>
        </w:numPr>
        <w:spacing w:after="100"/>
      </w:pPr>
      <w:r>
        <w:rPr>
          <w:rFonts w:ascii="Arial" w:cs="Arial" w:eastAsia="Arial" w:hAnsi="Arial"/>
          <w:b/>
          <w:bCs/>
          <w:color w:val="1C2024"/>
          <w:sz w:val="22"/>
          <w:szCs w:val="22"/>
        </w:rPr>
        <w:t xml:space="preserve">Add price range</w:t>
      </w:r>
      <w:r>
        <w:rPr>
          <w:rFonts w:ascii="Arial" w:cs="Arial" w:eastAsia="Arial" w:hAnsi="Arial"/>
          <w:color w:val="1C2024"/>
          <w:sz w:val="22"/>
          <w:szCs w:val="22"/>
        </w:rPr>
        <w:t xml:space="preserve"> (min/max) — backend already supports min_price/max_price, frontend doesn’t expose it</w:t>
      </w:r>
    </w:p>
    <w:p>
      <w:pPr>
        <w:pStyle w:val="ListParagraph"/>
        <w:numPr>
          <w:ilvl w:val="0"/>
          <w:numId w:val="2"/>
        </w:numPr>
        <w:spacing w:after="100"/>
      </w:pPr>
      <w:r>
        <w:rPr>
          <w:rFonts w:ascii="Arial" w:cs="Arial" w:eastAsia="Arial" w:hAnsi="Arial"/>
          <w:b/>
          <w:bCs/>
          <w:color w:val="1C2024"/>
          <w:sz w:val="22"/>
          <w:szCs w:val="22"/>
        </w:rPr>
        <w:t xml:space="preserve">Add region multi-select</w:t>
      </w:r>
      <w:r>
        <w:rPr>
          <w:rFonts w:ascii="Arial" w:cs="Arial" w:eastAsia="Arial" w:hAnsi="Arial"/>
          <w:color w:val="1C2024"/>
          <w:sz w:val="22"/>
          <w:szCs w:val="22"/>
        </w:rPr>
        <w:t xml:space="preserve"> — backend already supports region filter</w:t>
      </w:r>
    </w:p>
    <w:p>
      <w:pPr>
        <w:pStyle w:val="ListParagraph"/>
        <w:numPr>
          <w:ilvl w:val="0"/>
          <w:numId w:val="2"/>
        </w:numPr>
        <w:spacing w:after="100"/>
      </w:pPr>
      <w:r>
        <w:rPr>
          <w:rFonts w:ascii="Arial" w:cs="Arial" w:eastAsia="Arial" w:hAnsi="Arial"/>
          <w:b/>
          <w:bCs/>
          <w:color w:val="1C2024"/>
          <w:sz w:val="22"/>
          <w:szCs w:val="22"/>
        </w:rPr>
        <w:t xml:space="preserve">Add city search/select</w:t>
      </w:r>
      <w:r>
        <w:rPr>
          <w:rFonts w:ascii="Arial" w:cs="Arial" w:eastAsia="Arial" w:hAnsi="Arial"/>
          <w:color w:val="1C2024"/>
          <w:sz w:val="22"/>
          <w:szCs w:val="22"/>
        </w:rPr>
        <w:t xml:space="preserve"> — backend already supports city filter</w:t>
      </w:r>
    </w:p>
    <w:p>
      <w:pPr>
        <w:pBdr>
          <w:bottom w:val="single" w:color="D0D5DD" w:sz="2" w:space="1"/>
        </w:pBdr>
        <w:spacing w:after="200" w:before="200"/>
      </w:pPr>
    </w:p>
    <w:p>
      <w:pPr>
        <w:pStyle w:val="Heading1"/>
      </w:pPr>
      <w:r>
        <w:t xml:space="preserve">5. Visual Context: Property Mini-Maps</w:t>
      </w:r>
    </w:p>
    <w:p>
      <w:pPr>
        <w:spacing w:after="160"/>
      </w:pPr>
      <w:r>
        <w:rPr>
          <w:rFonts w:ascii="Arial" w:cs="Arial" w:eastAsia="Arial" w:hAnsi="Arial"/>
          <w:color w:val="1C2024"/>
          <w:sz w:val="22"/>
          <w:szCs w:val="22"/>
        </w:rPr>
        <w:t xml:space="preserve">A reusable PropertyMiniMap component that renders Mapbox pins for a set of properties, color-coded by asset class. Appears on Group detail pages and Contact detail pages.</w:t>
      </w:r>
    </w:p>
    <w:p>
      <w:pPr>
        <w:pStyle w:val="Heading3"/>
      </w:pPr>
      <w:r>
        <w:t xml:space="preserve">Component Spec</w:t>
      </w:r>
    </w:p>
    <w:p>
      <w:pPr>
        <w:pStyle w:val="ListParagraph"/>
        <w:numPr>
          <w:ilvl w:val="0"/>
          <w:numId w:val="2"/>
        </w:numPr>
        <w:spacing w:after="100"/>
      </w:pPr>
      <w:r>
        <w:rPr>
          <w:rFonts w:ascii="Arial" w:cs="Arial" w:eastAsia="Arial" w:hAnsi="Arial"/>
          <w:b/>
          <w:bCs/>
          <w:color w:val="1C2024"/>
          <w:sz w:val="22"/>
          <w:szCs w:val="22"/>
        </w:rPr>
        <w:t xml:space="preserve">Input:</w:t>
      </w:r>
      <w:r>
        <w:rPr>
          <w:rFonts w:ascii="Arial" w:cs="Arial" w:eastAsia="Arial" w:hAnsi="Arial"/>
          <w:color w:val="1C2024"/>
          <w:sz w:val="22"/>
          <w:szCs w:val="22"/>
        </w:rPr>
        <w:t xml:space="preserve"> Array of { lat, lng, asset_class, display_address, id }</w:t>
      </w:r>
    </w:p>
    <w:p>
      <w:pPr>
        <w:pStyle w:val="ListParagraph"/>
        <w:numPr>
          <w:ilvl w:val="0"/>
          <w:numId w:val="2"/>
        </w:numPr>
        <w:spacing w:after="100"/>
      </w:pPr>
      <w:r>
        <w:rPr>
          <w:rFonts w:ascii="Arial" w:cs="Arial" w:eastAsia="Arial" w:hAnsi="Arial"/>
          <w:b/>
          <w:bCs/>
          <w:color w:val="1C2024"/>
          <w:sz w:val="22"/>
          <w:szCs w:val="22"/>
        </w:rPr>
        <w:t xml:space="preserve">Rendering:</w:t>
      </w:r>
      <w:r>
        <w:rPr>
          <w:rFonts w:ascii="Arial" w:cs="Arial" w:eastAsia="Arial" w:hAnsi="Arial"/>
          <w:color w:val="1C2024"/>
          <w:sz w:val="22"/>
          <w:szCs w:val="22"/>
        </w:rPr>
        <w:t xml:space="preserve"> Mapbox GL markers colored by asset class (Retail = jade, Industrial = blue, Multifamily = amber, Office = purple, Land = gray, Agricultural = brown, Hospitality = red, Mixed Use = teal)</w:t>
      </w:r>
    </w:p>
    <w:p>
      <w:pPr>
        <w:pStyle w:val="ListParagraph"/>
        <w:numPr>
          <w:ilvl w:val="0"/>
          <w:numId w:val="2"/>
        </w:numPr>
        <w:spacing w:after="100"/>
      </w:pPr>
      <w:r>
        <w:rPr>
          <w:rFonts w:ascii="Arial" w:cs="Arial" w:eastAsia="Arial" w:hAnsi="Arial"/>
          <w:b/>
          <w:bCs/>
          <w:color w:val="1C2024"/>
          <w:sz w:val="22"/>
          <w:szCs w:val="22"/>
        </w:rPr>
        <w:t xml:space="preserve">Initial view:</w:t>
      </w:r>
      <w:r>
        <w:rPr>
          <w:rFonts w:ascii="Arial" w:cs="Arial" w:eastAsia="Arial" w:hAnsi="Arial"/>
          <w:color w:val="1C2024"/>
          <w:sz w:val="22"/>
          <w:szCs w:val="22"/>
        </w:rPr>
        <w:t xml:space="preserve"> Auto-fit bounds to show all properties. For groups with HQ coordinates, also show HQ as a distinct marker (star or house icon)</w:t>
      </w:r>
    </w:p>
    <w:p>
      <w:pPr>
        <w:pStyle w:val="ListParagraph"/>
        <w:numPr>
          <w:ilvl w:val="0"/>
          <w:numId w:val="2"/>
        </w:numPr>
        <w:spacing w:after="100"/>
      </w:pPr>
      <w:r>
        <w:rPr>
          <w:rFonts w:ascii="Arial" w:cs="Arial" w:eastAsia="Arial" w:hAnsi="Arial"/>
          <w:b/>
          <w:bCs/>
          <w:color w:val="1C2024"/>
          <w:sz w:val="22"/>
          <w:szCs w:val="22"/>
        </w:rPr>
        <w:t xml:space="preserve">Interaction:</w:t>
      </w:r>
      <w:r>
        <w:rPr>
          <w:rFonts w:ascii="Arial" w:cs="Arial" w:eastAsia="Arial" w:hAnsi="Arial"/>
          <w:color w:val="1C2024"/>
          <w:sz w:val="22"/>
          <w:szCs w:val="22"/>
        </w:rPr>
        <w:t xml:space="preserve"> Click pin to see property address and quick stats. Click through to property detail page</w:t>
      </w:r>
    </w:p>
    <w:p>
      <w:pPr>
        <w:pStyle w:val="ListParagraph"/>
        <w:numPr>
          <w:ilvl w:val="0"/>
          <w:numId w:val="2"/>
        </w:numPr>
        <w:spacing w:after="100"/>
      </w:pPr>
      <w:r>
        <w:rPr>
          <w:rFonts w:ascii="Arial" w:cs="Arial" w:eastAsia="Arial" w:hAnsi="Arial"/>
          <w:b/>
          <w:bCs/>
          <w:color w:val="1C2024"/>
          <w:sz w:val="22"/>
          <w:szCs w:val="22"/>
        </w:rPr>
        <w:t xml:space="preserve">Size:</w:t>
      </w:r>
      <w:r>
        <w:rPr>
          <w:rFonts w:ascii="Arial" w:cs="Arial" w:eastAsia="Arial" w:hAnsi="Arial"/>
          <w:color w:val="1C2024"/>
          <w:sz w:val="22"/>
          <w:szCs w:val="22"/>
        </w:rPr>
        <w:t xml:space="preserve"> Card-sized (roughly 400x300px), fits in the detail page layout alongside other cards</w:t>
      </w:r>
    </w:p>
    <w:p>
      <w:pPr>
        <w:pStyle w:val="Heading3"/>
      </w:pPr>
      <w:r>
        <w:t xml:space="preserve">Where It Appears</w:t>
      </w:r>
    </w:p>
    <w:p>
      <w:pPr>
        <w:pStyle w:val="ListParagraph"/>
        <w:numPr>
          <w:ilvl w:val="0"/>
          <w:numId w:val="2"/>
        </w:numPr>
        <w:spacing w:after="100"/>
      </w:pPr>
      <w:r>
        <w:rPr>
          <w:rFonts w:ascii="Arial" w:cs="Arial" w:eastAsia="Arial" w:hAnsi="Arial"/>
          <w:b/>
          <w:bCs/>
          <w:color w:val="1C2024"/>
          <w:sz w:val="22"/>
          <w:szCs w:val="22"/>
        </w:rPr>
        <w:t xml:space="preserve">Group detail page</w:t>
      </w:r>
      <w:r>
        <w:rPr>
          <w:rFonts w:ascii="Arial" w:cs="Arial" w:eastAsia="Arial" w:hAnsi="Arial"/>
          <w:color w:val="1C2024"/>
          <w:sz w:val="22"/>
          <w:szCs w:val="22"/>
        </w:rPr>
        <w:t xml:space="preserve"> — shows all properties currently owned by the group, plus HQ pin. Replaces or supplements the current properties table</w:t>
      </w:r>
    </w:p>
    <w:p>
      <w:pPr>
        <w:pStyle w:val="ListParagraph"/>
        <w:numPr>
          <w:ilvl w:val="0"/>
          <w:numId w:val="2"/>
        </w:numPr>
        <w:spacing w:after="100"/>
      </w:pPr>
      <w:r>
        <w:rPr>
          <w:rFonts w:ascii="Arial" w:cs="Arial" w:eastAsia="Arial" w:hAnsi="Arial"/>
          <w:b/>
          <w:bCs/>
          <w:color w:val="1C2024"/>
          <w:sz w:val="22"/>
          <w:szCs w:val="22"/>
        </w:rPr>
        <w:t xml:space="preserve">Contact detail page</w:t>
      </w:r>
      <w:r>
        <w:rPr>
          <w:rFonts w:ascii="Arial" w:cs="Arial" w:eastAsia="Arial" w:hAnsi="Arial"/>
          <w:color w:val="1C2024"/>
          <w:sz w:val="22"/>
          <w:szCs w:val="22"/>
        </w:rPr>
        <w:t xml:space="preserve"> — shows all properties the contact has been party to (via transaction_parties), regardless of current ownership. Historical footprint</w:t>
      </w:r>
    </w:p>
    <w:p>
      <w:pPr>
        <w:pBdr>
          <w:bottom w:val="single" w:color="D0D5DD" w:sz="2" w:space="1"/>
        </w:pBdr>
        <w:spacing w:after="200" w:before="200"/>
      </w:pPr>
    </w:p>
    <w:p>
      <w:pPr>
        <w:pStyle w:val="Heading1"/>
      </w:pPr>
      <w:r>
        <w:t xml:space="preserve">6. Opportunity &amp; Mandate System</w:t>
      </w:r>
    </w:p>
    <w:p>
      <w:pPr>
        <w:spacing w:after="160"/>
      </w:pPr>
      <w:r>
        <w:rPr>
          <w:rFonts w:ascii="Arial" w:cs="Arial" w:eastAsia="Arial" w:hAnsi="Arial"/>
          <w:color w:val="1C2024"/>
          <w:sz w:val="22"/>
          <w:szCs w:val="22"/>
        </w:rPr>
        <w:t xml:space="preserve">This is the core innovation. It replaces the single-pipeline deal model with a two-sided system that reflects how commercial real estate prospecting actually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7C5F" w:sz="1"/>
              <w:left w:val="single" w:color="2B7C5F" w:sz="6"/>
              <w:bottom w:val="single" w:color="2B7C5F" w:sz="1"/>
              <w:right w:val="single" w:color="2B7C5F" w:sz="1"/>
            </w:tcBorders>
            <w:shd w:fill="E6F4ED" w:val="clear"/>
            <w:tcMar>
              <w:top w:type="dxa" w:w="120"/>
              <w:left w:type="dxa" w:w="200"/>
              <w:bottom w:type="dxa" w:w="120"/>
              <w:right w:type="dxa" w:w="200"/>
            </w:tcMar>
          </w:tcPr>
          <w:p>
            <w:pPr>
              <w:spacing w:after="80"/>
            </w:pPr>
            <w:r>
              <w:rPr>
                <w:rFonts w:ascii="Arial" w:cs="Arial" w:eastAsia="Arial" w:hAnsi="Arial"/>
                <w:b/>
                <w:bCs/>
                <w:color w:val="2B7C5F"/>
                <w:sz w:val="22"/>
                <w:szCs w:val="22"/>
              </w:rPr>
              <w:t xml:space="preserve">Key Concept</w:t>
            </w:r>
          </w:p>
          <w:p>
            <w:pPr>
              <w:spacing w:after="60"/>
            </w:pPr>
            <w:r>
              <w:rPr>
                <w:rFonts w:ascii="Arial" w:cs="Arial" w:eastAsia="Arial" w:hAnsi="Arial"/>
                <w:color w:val="1C2024"/>
                <w:sz w:val="20"/>
                <w:szCs w:val="20"/>
              </w:rPr>
              <w:t xml:space="preserve">The prospecting workflow is property-first. You find a property, reach out to the owner, and the conversation produces one of three outcomes: a Sell Opportunity (they’re open to selling), a Buy Mandate (they’re looking to acquire), or a Cold outcome (revisit later). Deals only exist when a buyer and seller are connected.</w:t>
            </w:r>
          </w:p>
        </w:tc>
      </w:tr>
    </w:tbl>
    <w:p>
      <w:pPr>
        <w:spacing w:after="80"/>
      </w:pPr>
    </w:p>
    <w:p>
      <w:pPr>
        <w:pStyle w:val="Heading2"/>
      </w:pPr>
      <w:r>
        <w:t xml:space="preserve">6a. Sell Opportunities</w:t>
      </w:r>
    </w:p>
    <w:p>
      <w:pPr>
        <w:spacing w:after="160"/>
      </w:pPr>
      <w:r>
        <w:rPr>
          <w:rFonts w:ascii="Arial" w:cs="Arial" w:eastAsia="Arial" w:hAnsi="Arial"/>
          <w:color w:val="1C2024"/>
          <w:sz w:val="22"/>
          <w:szCs w:val="22"/>
        </w:rPr>
        <w:t xml:space="preserve">A Sell Opportunity represents a specific property that is potentially available for sale. It is property-centric: the opportunity IS the property.</w:t>
      </w:r>
    </w:p>
    <w:p>
      <w:pPr>
        <w:pStyle w:val="Heading3"/>
      </w:pPr>
      <w:r>
        <w:t xml:space="preserve">Database: sell_opportunities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 PK</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Auto-assigned (OPP_NNNNN)</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property_id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 FK</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The property that is available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seller_contact_id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 FK</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Primary contact in control of the opportunity</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seller_group_id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 FK</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The owning group</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deal_value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REAL</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Estimated or asking price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status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active / on_hold / stale / matched / closed_won / closed_lost</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owner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Brandon or Jamie (who’s working this)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notes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Free-text context</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last_activity_at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Timestamp of most recent activity (resets decay)</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decay_days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INTEGER</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Days before going stale (default: 14)</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created_by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Who created it</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created_at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Timestamp</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updated_at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Timestamp</w:t>
            </w:r>
          </w:p>
        </w:tc>
      </w:tr>
    </w:tbl>
    <w:p>
      <w:pPr>
        <w:spacing w:after="80"/>
      </w:pPr>
    </w:p>
    <w:p>
      <w:pPr>
        <w:pStyle w:val="Heading2"/>
      </w:pPr>
      <w:r>
        <w:t xml:space="preserve">6b. Buy Mandates</w:t>
      </w:r>
    </w:p>
    <w:p>
      <w:pPr>
        <w:spacing w:after="160"/>
      </w:pPr>
      <w:r>
        <w:rPr>
          <w:rFonts w:ascii="Arial" w:cs="Arial" w:eastAsia="Arial" w:hAnsi="Arial"/>
          <w:color w:val="1C2024"/>
          <w:sz w:val="22"/>
          <w:szCs w:val="22"/>
        </w:rPr>
        <w:t xml:space="preserve">A Buy Mandate represents a contact or group that is actively looking to acquire. It is criteria-based: instead of a specific property, it stores what they’re looking for.</w:t>
      </w:r>
    </w:p>
    <w:p>
      <w:pPr>
        <w:pStyle w:val="Heading3"/>
      </w:pPr>
      <w:r>
        <w:t xml:space="preserve">Database: buy_mandates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 PK</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Auto-assigned (MAN_NNNNN)</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contact_id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 FK</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Primary buyer contact</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group_id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 FK</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The buying group</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criteria_json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Structured criteria (see below)</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status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active / on_hold / stale / fulfilled</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owner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Brandon or Jamie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notes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Free-text context</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last_activity_at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Timestamp of most recent activity</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decay_days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INTEGER</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Days before going stale (default: 14)</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created_by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Who created it</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created_at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Timestamp</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updated_at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Timestamp</w:t>
            </w:r>
          </w:p>
        </w:tc>
      </w:tr>
    </w:tbl>
    <w:p>
      <w:pPr>
        <w:spacing w:after="80"/>
      </w:pPr>
    </w:p>
    <w:p>
      <w:pPr>
        <w:pStyle w:val="Heading3"/>
      </w:pPr>
      <w:r>
        <w:t xml:space="preserve">Buy Mandate Criteria Structure</w:t>
      </w:r>
    </w:p>
    <w:p>
      <w:pPr>
        <w:spacing w:after="160"/>
      </w:pPr>
      <w:r>
        <w:rPr>
          <w:rFonts w:ascii="Arial" w:cs="Arial" w:eastAsia="Arial" w:hAnsi="Arial"/>
          <w:color w:val="1C2024"/>
          <w:sz w:val="22"/>
          <w:szCs w:val="22"/>
        </w:rPr>
        <w:t xml:space="preserve">The criteria_json field stores a structured object. Every field is optional — the less specific the mandate, the broader the matches. The more specific, the more precise.</w:t>
      </w:r>
    </w:p>
    <w:p>
      <w:pPr>
        <w:pStyle w:val="ListParagraph"/>
        <w:numPr>
          <w:ilvl w:val="0"/>
          <w:numId w:val="2"/>
        </w:numPr>
        <w:spacing w:after="100"/>
      </w:pPr>
      <w:r>
        <w:rPr>
          <w:rFonts w:ascii="Arial" w:cs="Arial" w:eastAsia="Arial" w:hAnsi="Arial"/>
          <w:b/>
          <w:bCs/>
          <w:color w:val="1C2024"/>
          <w:sz w:val="22"/>
          <w:szCs w:val="22"/>
        </w:rPr>
        <w:t xml:space="preserve">asset_classes</w:t>
      </w:r>
      <w:r>
        <w:rPr>
          <w:rFonts w:ascii="Arial" w:cs="Arial" w:eastAsia="Arial" w:hAnsi="Arial"/>
          <w:color w:val="1C2024"/>
          <w:sz w:val="22"/>
          <w:szCs w:val="22"/>
        </w:rPr>
        <w:t xml:space="preserve"> — array of broad categories [“Retail”, “Industrial”]</w:t>
      </w:r>
    </w:p>
    <w:p>
      <w:pPr>
        <w:pStyle w:val="ListParagraph"/>
        <w:numPr>
          <w:ilvl w:val="0"/>
          <w:numId w:val="2"/>
        </w:numPr>
        <w:spacing w:after="100"/>
      </w:pPr>
      <w:r>
        <w:rPr>
          <w:rFonts w:ascii="Arial" w:cs="Arial" w:eastAsia="Arial" w:hAnsi="Arial"/>
          <w:b/>
          <w:bCs/>
          <w:color w:val="1C2024"/>
          <w:sz w:val="22"/>
          <w:szCs w:val="22"/>
        </w:rPr>
        <w:t xml:space="preserve">asset_subclasses</w:t>
      </w:r>
      <w:r>
        <w:rPr>
          <w:rFonts w:ascii="Arial" w:cs="Arial" w:eastAsia="Arial" w:hAnsi="Arial"/>
          <w:color w:val="1C2024"/>
          <w:sz w:val="22"/>
          <w:szCs w:val="22"/>
        </w:rPr>
        <w:t xml:space="preserve"> — array of specific types [“Neighbourhood Plaza”, “Grocery Anchored Plaza”]</w:t>
      </w:r>
    </w:p>
    <w:p>
      <w:pPr>
        <w:pStyle w:val="ListParagraph"/>
        <w:numPr>
          <w:ilvl w:val="0"/>
          <w:numId w:val="2"/>
        </w:numPr>
        <w:spacing w:after="100"/>
      </w:pPr>
      <w:r>
        <w:rPr>
          <w:rFonts w:ascii="Arial" w:cs="Arial" w:eastAsia="Arial" w:hAnsi="Arial"/>
          <w:b/>
          <w:bCs/>
          <w:color w:val="1C2024"/>
          <w:sz w:val="22"/>
          <w:szCs w:val="22"/>
        </w:rPr>
        <w:t xml:space="preserve">regions</w:t>
      </w:r>
      <w:r>
        <w:rPr>
          <w:rFonts w:ascii="Arial" w:cs="Arial" w:eastAsia="Arial" w:hAnsi="Arial"/>
          <w:color w:val="1C2024"/>
          <w:sz w:val="22"/>
          <w:szCs w:val="22"/>
        </w:rPr>
        <w:t xml:space="preserve"> — array of Ontario regions or “secondary_market” / “primary_market”</w:t>
      </w:r>
    </w:p>
    <w:p>
      <w:pPr>
        <w:pStyle w:val="ListParagraph"/>
        <w:numPr>
          <w:ilvl w:val="0"/>
          <w:numId w:val="2"/>
        </w:numPr>
        <w:spacing w:after="100"/>
      </w:pPr>
      <w:r>
        <w:rPr>
          <w:rFonts w:ascii="Arial" w:cs="Arial" w:eastAsia="Arial" w:hAnsi="Arial"/>
          <w:b/>
          <w:bCs/>
          <w:color w:val="1C2024"/>
          <w:sz w:val="22"/>
          <w:szCs w:val="22"/>
        </w:rPr>
        <w:t xml:space="preserve">cities</w:t>
      </w:r>
      <w:r>
        <w:rPr>
          <w:rFonts w:ascii="Arial" w:cs="Arial" w:eastAsia="Arial" w:hAnsi="Arial"/>
          <w:color w:val="1C2024"/>
          <w:sz w:val="22"/>
          <w:szCs w:val="22"/>
        </w:rPr>
        <w:t xml:space="preserve"> — array of specific cities (optional)</w:t>
      </w:r>
    </w:p>
    <w:p>
      <w:pPr>
        <w:pStyle w:val="ListParagraph"/>
        <w:numPr>
          <w:ilvl w:val="0"/>
          <w:numId w:val="2"/>
        </w:numPr>
        <w:spacing w:after="100"/>
      </w:pPr>
      <w:r>
        <w:rPr>
          <w:rFonts w:ascii="Arial" w:cs="Arial" w:eastAsia="Arial" w:hAnsi="Arial"/>
          <w:b/>
          <w:bCs/>
          <w:color w:val="1C2024"/>
          <w:sz w:val="22"/>
          <w:szCs w:val="22"/>
        </w:rPr>
        <w:t xml:space="preserve">price_min / price_max</w:t>
      </w:r>
      <w:r>
        <w:rPr>
          <w:rFonts w:ascii="Arial" w:cs="Arial" w:eastAsia="Arial" w:hAnsi="Arial"/>
          <w:color w:val="1C2024"/>
          <w:sz w:val="22"/>
          <w:szCs w:val="22"/>
        </w:rPr>
        <w:t xml:space="preserve"> — deal value range in CAD</w:t>
      </w:r>
    </w:p>
    <w:p>
      <w:pPr>
        <w:pStyle w:val="ListParagraph"/>
        <w:numPr>
          <w:ilvl w:val="0"/>
          <w:numId w:val="2"/>
        </w:numPr>
        <w:spacing w:after="100"/>
      </w:pPr>
      <w:r>
        <w:rPr>
          <w:rFonts w:ascii="Arial" w:cs="Arial" w:eastAsia="Arial" w:hAnsi="Arial"/>
          <w:b/>
          <w:bCs/>
          <w:color w:val="1C2024"/>
          <w:sz w:val="22"/>
          <w:szCs w:val="22"/>
        </w:rPr>
        <w:t xml:space="preserve">sqft_min / sqft_max</w:t>
      </w:r>
      <w:r>
        <w:rPr>
          <w:rFonts w:ascii="Arial" w:cs="Arial" w:eastAsia="Arial" w:hAnsi="Arial"/>
          <w:color w:val="1C2024"/>
          <w:sz w:val="22"/>
          <w:szCs w:val="22"/>
        </w:rPr>
        <w:t xml:space="preserve"> — building size range (when available)</w:t>
      </w:r>
    </w:p>
    <w:p>
      <w:pPr>
        <w:pStyle w:val="ListParagraph"/>
        <w:numPr>
          <w:ilvl w:val="0"/>
          <w:numId w:val="2"/>
        </w:numPr>
        <w:spacing w:after="100"/>
      </w:pPr>
      <w:r>
        <w:rPr>
          <w:rFonts w:ascii="Arial" w:cs="Arial" w:eastAsia="Arial" w:hAnsi="Arial"/>
          <w:b/>
          <w:bCs/>
          <w:color w:val="1C2024"/>
          <w:sz w:val="22"/>
          <w:szCs w:val="22"/>
        </w:rPr>
        <w:t xml:space="preserve">cap_rate_min / cap_rate_max</w:t>
      </w:r>
      <w:r>
        <w:rPr>
          <w:rFonts w:ascii="Arial" w:cs="Arial" w:eastAsia="Arial" w:hAnsi="Arial"/>
          <w:color w:val="1C2024"/>
          <w:sz w:val="22"/>
          <w:szCs w:val="22"/>
        </w:rPr>
        <w:t xml:space="preserve"> — target cap rate range</w:t>
      </w:r>
    </w:p>
    <w:p>
      <w:pPr>
        <w:pStyle w:val="ListParagraph"/>
        <w:numPr>
          <w:ilvl w:val="0"/>
          <w:numId w:val="2"/>
        </w:numPr>
        <w:spacing w:after="100"/>
      </w:pPr>
      <w:r>
        <w:rPr>
          <w:rFonts w:ascii="Arial" w:cs="Arial" w:eastAsia="Arial" w:hAnsi="Arial"/>
          <w:b/>
          <w:bCs/>
          <w:color w:val="1C2024"/>
          <w:sz w:val="22"/>
          <w:szCs w:val="22"/>
        </w:rPr>
        <w:t xml:space="preserve">max_distance_from_city</w:t>
      </w:r>
      <w:r>
        <w:rPr>
          <w:rFonts w:ascii="Arial" w:cs="Arial" w:eastAsia="Arial" w:hAnsi="Arial"/>
          <w:color w:val="1C2024"/>
          <w:sz w:val="22"/>
          <w:szCs w:val="22"/>
        </w:rPr>
        <w:t xml:space="preserve"> — km radius from a reference city</w:t>
      </w:r>
    </w:p>
    <w:p>
      <w:pPr>
        <w:pStyle w:val="ListParagraph"/>
        <w:numPr>
          <w:ilvl w:val="0"/>
          <w:numId w:val="2"/>
        </w:numPr>
        <w:spacing w:after="100"/>
      </w:pPr>
      <w:r>
        <w:rPr>
          <w:rFonts w:ascii="Arial" w:cs="Arial" w:eastAsia="Arial" w:hAnsi="Arial"/>
          <w:b/>
          <w:bCs/>
          <w:color w:val="1C2024"/>
          <w:sz w:val="22"/>
          <w:szCs w:val="22"/>
        </w:rPr>
        <w:t xml:space="preserve">reference_city</w:t>
      </w:r>
      <w:r>
        <w:rPr>
          <w:rFonts w:ascii="Arial" w:cs="Arial" w:eastAsia="Arial" w:hAnsi="Arial"/>
          <w:color w:val="1C2024"/>
          <w:sz w:val="22"/>
          <w:szCs w:val="22"/>
        </w:rPr>
        <w:t xml:space="preserve"> — the city to measure distance from</w:t>
      </w:r>
    </w:p>
    <w:p>
      <w:pPr>
        <w:pStyle w:val="ListParagraph"/>
        <w:numPr>
          <w:ilvl w:val="0"/>
          <w:numId w:val="2"/>
        </w:numPr>
        <w:spacing w:after="100"/>
      </w:pPr>
      <w:r>
        <w:rPr>
          <w:rFonts w:ascii="Arial" w:cs="Arial" w:eastAsia="Arial" w:hAnsi="Arial"/>
          <w:b/>
          <w:bCs/>
          <w:color w:val="1C2024"/>
          <w:sz w:val="22"/>
          <w:szCs w:val="22"/>
        </w:rPr>
        <w:t xml:space="preserve">brands_preferred</w:t>
      </w:r>
      <w:r>
        <w:rPr>
          <w:rFonts w:ascii="Arial" w:cs="Arial" w:eastAsia="Arial" w:hAnsi="Arial"/>
          <w:color w:val="1C2024"/>
          <w:sz w:val="22"/>
          <w:szCs w:val="22"/>
        </w:rPr>
        <w:t xml:space="preserve"> — specific anchor tenants they want (e.g., “Shoppers Drug Mart”)</w:t>
      </w:r>
    </w:p>
    <w:p>
      <w:pPr>
        <w:pStyle w:val="Heading2"/>
      </w:pPr>
      <w:r>
        <w:t xml:space="preserve">6c. Deals (The Pipeline)</w:t>
      </w:r>
    </w:p>
    <w:p>
      <w:pPr>
        <w:spacing w:after="160"/>
      </w:pPr>
      <w:r>
        <w:rPr>
          <w:rFonts w:ascii="Arial" w:cs="Arial" w:eastAsia="Arial" w:hAnsi="Arial"/>
          <w:color w:val="1C2024"/>
          <w:sz w:val="22"/>
          <w:szCs w:val="22"/>
        </w:rPr>
        <w:t xml:space="preserve">A Deal is born when a buyer and seller are connected and both parties are engaged. It enters the pipeline at “In Negotiation” and flows through structured stages that reflect real CRE transaction milestones.</w:t>
      </w:r>
    </w:p>
    <w:p>
      <w:pPr>
        <w:pStyle w:val="Heading3"/>
      </w:pPr>
      <w:r>
        <w:t xml:space="preserve">Database: deals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 PK</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Auto-assigned (DEA_NNNNN)</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name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Human-readable deal name</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sell_opportunity_id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 FK</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The sell-side opportunity</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buy_mandate_id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 FK</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The buy-side mandate (nullable if buyer came direct)</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property_id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 FK</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The property (denormalized from sell opportunity)</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buyer_contact_id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 FK</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Primary buyer contact</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buyer_group_id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 FK</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Buyer group</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seller_contact_id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 FK</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Primary seller contact</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seller_group_id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 FK</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Seller group</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stage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in_negotiation / under_contract / firm / closed / lost</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deal_value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REAL</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Transaction amount</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close_date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Expected or actual close date</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lost_reason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If lost, why</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owner</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Deal owner (Brandon/Jamie)</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description</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Context and notes</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hubspot_id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For sync (nullable)</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created_at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Timestamp</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updated_at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Timestamp</w:t>
            </w:r>
          </w:p>
        </w:tc>
      </w:tr>
    </w:tbl>
    <w:p>
      <w:pPr>
        <w:spacing w:after="80"/>
      </w:pPr>
    </w:p>
    <w:p>
      <w:pPr>
        <w:pStyle w:val="Heading3"/>
      </w:pPr>
      <w:r>
        <w:t xml:space="preserve">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16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0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HubSpot Mapping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In Negotiation</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Buyer and seller are actively discussing terms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In Negotiation (decisionmakerboughtin)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Under Contract</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Conditional offer accepted, due diligence period</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Under Contract (contractsent)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Firm</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All conditions waived, deal is firm pending close</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Firm (closedwon)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Closed</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Transaction completed</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Closed (closedlost)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Lost</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Deal fell through at any stage</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Closed (closedlost) with lost_reason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7C5F" w:sz="1"/>
              <w:left w:val="single" w:color="2B7C5F" w:sz="6"/>
              <w:bottom w:val="single" w:color="2B7C5F" w:sz="1"/>
              <w:right w:val="single" w:color="2B7C5F" w:sz="1"/>
            </w:tcBorders>
            <w:shd w:fill="E6F4ED" w:val="clear"/>
            <w:tcMar>
              <w:top w:type="dxa" w:w="120"/>
              <w:left w:type="dxa" w:w="200"/>
              <w:bottom w:type="dxa" w:w="120"/>
              <w:right w:type="dxa" w:w="200"/>
            </w:tcMar>
          </w:tcPr>
          <w:p>
            <w:pPr>
              <w:spacing w:after="80"/>
            </w:pPr>
            <w:r>
              <w:rPr>
                <w:rFonts w:ascii="Arial" w:cs="Arial" w:eastAsia="Arial" w:hAnsi="Arial"/>
                <w:b/>
                <w:bCs/>
                <w:color w:val="2B7C5F"/>
                <w:sz w:val="22"/>
                <w:szCs w:val="22"/>
              </w:rPr>
              <w:t xml:space="preserve">What Happened to Long Shot / Priority Deal / Viable Deal?</w:t>
            </w:r>
          </w:p>
          <w:p>
            <w:pPr>
              <w:spacing w:after="60"/>
            </w:pPr>
            <w:r>
              <w:rPr>
                <w:rFonts w:ascii="Arial" w:cs="Arial" w:eastAsia="Arial" w:hAnsi="Arial"/>
                <w:color w:val="1C2024"/>
                <w:sz w:val="20"/>
                <w:szCs w:val="20"/>
              </w:rPr>
              <w:t xml:space="preserve">These pre-pipeline stages are replaced by the Sell Opportunity and Buy Mandate system. A property that’s available but has no buyer isn’t a “long shot deal” — it’s an active Sell Opportunity waiting for matches. A buyer with criteria but no specific target isn’t a deal at all — it’s a standing Buy Mandate. The deal only comes into existence when both sides are engaged.</w:t>
            </w:r>
          </w:p>
        </w:tc>
      </w:tr>
    </w:tbl>
    <w:p>
      <w:pPr>
        <w:spacing w:after="80"/>
      </w:pPr>
    </w:p>
    <w:p>
      <w:pPr>
        <w:pBdr>
          <w:bottom w:val="single" w:color="D0D5DD" w:sz="2" w:space="1"/>
        </w:pBdr>
        <w:spacing w:after="200" w:before="200"/>
      </w:pPr>
    </w:p>
    <w:p>
      <w:pPr>
        <w:pStyle w:val="Heading1"/>
      </w:pPr>
      <w:r>
        <w:t xml:space="preserve">7. Matchmaking Engine</w:t>
      </w:r>
    </w:p>
    <w:p>
      <w:pPr>
        <w:spacing w:after="160"/>
      </w:pPr>
      <w:r>
        <w:rPr>
          <w:rFonts w:ascii="Arial" w:cs="Arial" w:eastAsia="Arial" w:hAnsi="Arial"/>
          <w:color w:val="1C2024"/>
          <w:sz w:val="22"/>
          <w:szCs w:val="22"/>
        </w:rPr>
        <w:t xml:space="preserve">The matchmaking system connects Buy Mandates to Sell Opportunities (and to properties in general). It’s not AI — it’s structured SQL filtering using the same filter engine built in Phase 2.</w:t>
      </w:r>
    </w:p>
    <w:p>
      <w:pPr>
        <w:pStyle w:val="Heading3"/>
      </w:pPr>
      <w:r>
        <w:t xml:space="preserve">How Matching Works</w:t>
      </w:r>
    </w:p>
    <w:p>
      <w:pPr>
        <w:spacing w:after="160"/>
      </w:pPr>
      <w:r>
        <w:rPr>
          <w:rFonts w:ascii="Arial" w:cs="Arial" w:eastAsia="Arial" w:hAnsi="Arial"/>
          <w:color w:val="1C2024"/>
          <w:sz w:val="22"/>
          <w:szCs w:val="22"/>
        </w:rPr>
        <w:t xml:space="preserve">When viewing a Sell Opportunity, the system queries all active Buy Mandates and checks which ones’ criteria overlap with the property’s attributes:</w:t>
      </w:r>
    </w:p>
    <w:p>
      <w:pPr>
        <w:pStyle w:val="ListParagraph"/>
        <w:numPr>
          <w:ilvl w:val="0"/>
          <w:numId w:val="4"/>
        </w:numPr>
        <w:spacing w:after="100"/>
      </w:pPr>
      <w:r>
        <w:rPr>
          <w:rFonts w:ascii="Arial" w:cs="Arial" w:eastAsia="Arial" w:hAnsi="Arial"/>
          <w:b/>
          <w:bCs/>
          <w:color w:val="1C2024"/>
          <w:sz w:val="22"/>
          <w:szCs w:val="22"/>
        </w:rPr>
        <w:t xml:space="preserve">Asset class match</w:t>
      </w:r>
      <w:r>
        <w:rPr>
          <w:rFonts w:ascii="Arial" w:cs="Arial" w:eastAsia="Arial" w:hAnsi="Arial"/>
          <w:color w:val="1C2024"/>
          <w:sz w:val="22"/>
          <w:szCs w:val="22"/>
        </w:rPr>
        <w:t xml:space="preserve"> — property’s asset_class is in the mandate’s asset_classes array</w:t>
      </w:r>
    </w:p>
    <w:p>
      <w:pPr>
        <w:pStyle w:val="ListParagraph"/>
        <w:numPr>
          <w:ilvl w:val="0"/>
          <w:numId w:val="4"/>
        </w:numPr>
        <w:spacing w:after="100"/>
      </w:pPr>
      <w:r>
        <w:rPr>
          <w:rFonts w:ascii="Arial" w:cs="Arial" w:eastAsia="Arial" w:hAnsi="Arial"/>
          <w:b/>
          <w:bCs/>
          <w:color w:val="1C2024"/>
          <w:sz w:val="22"/>
          <w:szCs w:val="22"/>
        </w:rPr>
        <w:t xml:space="preserve">Price match</w:t>
      </w:r>
      <w:r>
        <w:rPr>
          <w:rFonts w:ascii="Arial" w:cs="Arial" w:eastAsia="Arial" w:hAnsi="Arial"/>
          <w:color w:val="1C2024"/>
          <w:sz w:val="22"/>
          <w:szCs w:val="22"/>
        </w:rPr>
        <w:t xml:space="preserve"> — deal_value falls within mandate’s price_min/price_max range</w:t>
      </w:r>
    </w:p>
    <w:p>
      <w:pPr>
        <w:pStyle w:val="ListParagraph"/>
        <w:numPr>
          <w:ilvl w:val="0"/>
          <w:numId w:val="4"/>
        </w:numPr>
        <w:spacing w:after="100"/>
      </w:pPr>
      <w:r>
        <w:rPr>
          <w:rFonts w:ascii="Arial" w:cs="Arial" w:eastAsia="Arial" w:hAnsi="Arial"/>
          <w:b/>
          <w:bCs/>
          <w:color w:val="1C2024"/>
          <w:sz w:val="22"/>
          <w:szCs w:val="22"/>
        </w:rPr>
        <w:t xml:space="preserve">Geography match</w:t>
      </w:r>
      <w:r>
        <w:rPr>
          <w:rFonts w:ascii="Arial" w:cs="Arial" w:eastAsia="Arial" w:hAnsi="Arial"/>
          <w:color w:val="1C2024"/>
          <w:sz w:val="22"/>
          <w:szCs w:val="22"/>
        </w:rPr>
        <w:t xml:space="preserve"> — property’s region/city matches mandate’s regions/cities, or property is within max_distance_from_city</w:t>
      </w:r>
    </w:p>
    <w:p>
      <w:pPr>
        <w:pStyle w:val="ListParagraph"/>
        <w:numPr>
          <w:ilvl w:val="0"/>
          <w:numId w:val="4"/>
        </w:numPr>
        <w:spacing w:after="100"/>
      </w:pPr>
      <w:r>
        <w:rPr>
          <w:rFonts w:ascii="Arial" w:cs="Arial" w:eastAsia="Arial" w:hAnsi="Arial"/>
          <w:b/>
          <w:bCs/>
          <w:color w:val="1C2024"/>
          <w:sz w:val="22"/>
          <w:szCs w:val="22"/>
        </w:rPr>
        <w:t xml:space="preserve">Subclass match</w:t>
      </w:r>
      <w:r>
        <w:rPr>
          <w:rFonts w:ascii="Arial" w:cs="Arial" w:eastAsia="Arial" w:hAnsi="Arial"/>
          <w:color w:val="1C2024"/>
          <w:sz w:val="22"/>
          <w:szCs w:val="22"/>
        </w:rPr>
        <w:t xml:space="preserve"> (bonus) — if mandate specifies subclasses, property’s asset_subclass matches</w:t>
      </w:r>
    </w:p>
    <w:p>
      <w:pPr>
        <w:pStyle w:val="ListParagraph"/>
        <w:numPr>
          <w:ilvl w:val="0"/>
          <w:numId w:val="4"/>
        </w:numPr>
        <w:spacing w:after="100"/>
      </w:pPr>
      <w:r>
        <w:rPr>
          <w:rFonts w:ascii="Arial" w:cs="Arial" w:eastAsia="Arial" w:hAnsi="Arial"/>
          <w:b/>
          <w:bCs/>
          <w:color w:val="1C2024"/>
          <w:sz w:val="22"/>
          <w:szCs w:val="22"/>
        </w:rPr>
        <w:t xml:space="preserve">Brand match</w:t>
      </w:r>
      <w:r>
        <w:rPr>
          <w:rFonts w:ascii="Arial" w:cs="Arial" w:eastAsia="Arial" w:hAnsi="Arial"/>
          <w:color w:val="1C2024"/>
          <w:sz w:val="22"/>
          <w:szCs w:val="22"/>
        </w:rPr>
        <w:t xml:space="preserve"> (bonus) — if mandate specifies preferred brands, property has those tenants</w:t>
      </w:r>
    </w:p>
    <w:p>
      <w:pPr>
        <w:spacing w:after="160"/>
      </w:pPr>
      <w:r>
        <w:rPr>
          <w:rFonts w:ascii="Arial" w:cs="Arial" w:eastAsia="Arial" w:hAnsi="Arial"/>
          <w:color w:val="1C2024"/>
          <w:sz w:val="22"/>
          <w:szCs w:val="22"/>
        </w:rPr>
        <w:t xml:space="preserve">Results are ranked by number of matching dimensions. A 5/5 match surfaces higher than a 2/5 match.</w:t>
      </w:r>
    </w:p>
    <w:p>
      <w:pPr>
        <w:pStyle w:val="Heading3"/>
      </w:pPr>
      <w:r>
        <w:t xml:space="preserve">Reverse Matching</w:t>
      </w:r>
    </w:p>
    <w:p>
      <w:pPr>
        <w:spacing w:after="160"/>
      </w:pPr>
      <w:r>
        <w:rPr>
          <w:rFonts w:ascii="Arial" w:cs="Arial" w:eastAsia="Arial" w:hAnsi="Arial"/>
          <w:color w:val="1C2024"/>
          <w:sz w:val="22"/>
          <w:szCs w:val="22"/>
        </w:rPr>
        <w:t xml:space="preserve">When viewing a Buy Mandate, the system queries all properties (not just sell opportunities) that match the criteria. This is essentially a saved search. Properties that also have active sell opportunities are highlighted as “ready to pitch.”</w:t>
      </w:r>
    </w:p>
    <w:p>
      <w:pPr>
        <w:pStyle w:val="Heading3"/>
      </w:pPr>
      <w:r>
        <w:t xml:space="preserve">Suggested Matches UI</w:t>
      </w:r>
    </w:p>
    <w:p>
      <w:pPr>
        <w:pStyle w:val="ListParagraph"/>
        <w:numPr>
          <w:ilvl w:val="0"/>
          <w:numId w:val="2"/>
        </w:numPr>
        <w:spacing w:after="100"/>
      </w:pPr>
      <w:r>
        <w:rPr>
          <w:rFonts w:ascii="Arial" w:cs="Arial" w:eastAsia="Arial" w:hAnsi="Arial"/>
          <w:color w:val="1C2024"/>
          <w:sz w:val="22"/>
          <w:szCs w:val="22"/>
        </w:rPr>
        <w:t xml:space="preserve">On Sell Opportunity detail: “Potential Buyers” section showing matching buy mandates with contact/group info and match score</w:t>
      </w:r>
    </w:p>
    <w:p>
      <w:pPr>
        <w:pStyle w:val="ListParagraph"/>
        <w:numPr>
          <w:ilvl w:val="0"/>
          <w:numId w:val="2"/>
        </w:numPr>
        <w:spacing w:after="100"/>
      </w:pPr>
      <w:r>
        <w:rPr>
          <w:rFonts w:ascii="Arial" w:cs="Arial" w:eastAsia="Arial" w:hAnsi="Arial"/>
          <w:color w:val="1C2024"/>
          <w:sz w:val="22"/>
          <w:szCs w:val="22"/>
        </w:rPr>
        <w:t xml:space="preserve">On Buy Mandate detail: “Matching Properties” section showing properties that fit criteria, with sell opportunities highlighted</w:t>
      </w:r>
    </w:p>
    <w:p>
      <w:pPr>
        <w:pStyle w:val="ListParagraph"/>
        <w:numPr>
          <w:ilvl w:val="0"/>
          <w:numId w:val="2"/>
        </w:numPr>
        <w:spacing w:after="100"/>
      </w:pPr>
      <w:r>
        <w:rPr>
          <w:rFonts w:ascii="Arial" w:cs="Arial" w:eastAsia="Arial" w:hAnsi="Arial"/>
          <w:color w:val="1C2024"/>
          <w:sz w:val="22"/>
          <w:szCs w:val="22"/>
        </w:rPr>
        <w:t xml:space="preserve">Dashboard widget: “New Matches” showing recently created opportunities/mandates that have strong matches</w:t>
      </w:r>
    </w:p>
    <w:p>
      <w:pPr>
        <w:pBdr>
          <w:bottom w:val="single" w:color="D0D5DD" w:sz="2" w:space="1"/>
        </w:pBdr>
        <w:spacing w:after="200" w:before="200"/>
      </w:pPr>
    </w:p>
    <w:p>
      <w:pPr>
        <w:pStyle w:val="Heading1"/>
      </w:pPr>
      <w:r>
        <w:t xml:space="preserve">8. Activity Logging &amp; Decay</w:t>
      </w:r>
    </w:p>
    <w:p>
      <w:pPr>
        <w:spacing w:after="160"/>
      </w:pPr>
      <w:r>
        <w:rPr>
          <w:rFonts w:ascii="Arial" w:cs="Arial" w:eastAsia="Arial" w:hAnsi="Arial"/>
          <w:color w:val="1C2024"/>
          <w:sz w:val="22"/>
          <w:szCs w:val="22"/>
        </w:rPr>
        <w:t xml:space="preserve">Activities replace the current simple notes system with structured logging that feeds the decay clock and provides a real timeline.</w:t>
      </w:r>
    </w:p>
    <w:p>
      <w:pPr>
        <w:pStyle w:val="Heading3"/>
      </w:pPr>
      <w:r>
        <w:t xml:space="preserve">Database: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INTEGER PK</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Autoincrement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entity_type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sell_opportunity / buy_mandate / deal / contact / group</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entity_id</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FK to the relevant entity</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activity_type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call / email / meeting / note / status_change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outcome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connected / voicemail / no_answer / email_sent / meeting_held / cold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summary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Brief description of what happened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next_step</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What to do next (nullable)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created_by</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Who logged it (Brandon/Jamie)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created_at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TEXT</w:t>
            </w:r>
          </w:p>
        </w:tc>
        <w:tc>
          <w:tcPr>
            <w:tcW w:type="dxa" w:w="5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Timestamp</w:t>
            </w:r>
          </w:p>
        </w:tc>
      </w:tr>
    </w:tbl>
    <w:p>
      <w:pPr>
        <w:spacing w:after="80"/>
      </w:pPr>
    </w:p>
    <w:p>
      <w:pPr>
        <w:pStyle w:val="Heading3"/>
      </w:pPr>
      <w:r>
        <w:t xml:space="preserve">Decay System</w:t>
      </w:r>
    </w:p>
    <w:p>
      <w:pPr>
        <w:spacing w:after="160"/>
      </w:pPr>
      <w:r>
        <w:rPr>
          <w:rFonts w:ascii="Arial" w:cs="Arial" w:eastAsia="Arial" w:hAnsi="Arial"/>
          <w:color w:val="1C2024"/>
          <w:sz w:val="22"/>
          <w:szCs w:val="22"/>
        </w:rPr>
        <w:t xml:space="preserve">Every sell opportunity and buy mandate has a decay_days threshold (default 14). When last_activity_at + decay_days &lt; now, the opportunity goes stale. The UI shows:</w:t>
      </w:r>
    </w:p>
    <w:p>
      <w:pPr>
        <w:pStyle w:val="ListParagraph"/>
        <w:numPr>
          <w:ilvl w:val="0"/>
          <w:numId w:val="2"/>
        </w:numPr>
        <w:spacing w:after="100"/>
      </w:pPr>
      <w:r>
        <w:rPr>
          <w:rFonts w:ascii="Arial" w:cs="Arial" w:eastAsia="Arial" w:hAnsi="Arial"/>
          <w:b/>
          <w:bCs/>
          <w:color w:val="1C2024"/>
          <w:sz w:val="22"/>
          <w:szCs w:val="22"/>
        </w:rPr>
        <w:t xml:space="preserve">Fresh</w:t>
      </w:r>
      <w:r>
        <w:rPr>
          <w:rFonts w:ascii="Arial" w:cs="Arial" w:eastAsia="Arial" w:hAnsi="Arial"/>
          <w:color w:val="1C2024"/>
          <w:sz w:val="22"/>
          <w:szCs w:val="22"/>
        </w:rPr>
        <w:t xml:space="preserve"> (green) — activity within the last 50% of decay window</w:t>
      </w:r>
    </w:p>
    <w:p>
      <w:pPr>
        <w:pStyle w:val="ListParagraph"/>
        <w:numPr>
          <w:ilvl w:val="0"/>
          <w:numId w:val="2"/>
        </w:numPr>
        <w:spacing w:after="100"/>
      </w:pPr>
      <w:r>
        <w:rPr>
          <w:rFonts w:ascii="Arial" w:cs="Arial" w:eastAsia="Arial" w:hAnsi="Arial"/>
          <w:b/>
          <w:bCs/>
          <w:color w:val="1C2024"/>
          <w:sz w:val="22"/>
          <w:szCs w:val="22"/>
        </w:rPr>
        <w:t xml:space="preserve">Aging</w:t>
      </w:r>
      <w:r>
        <w:rPr>
          <w:rFonts w:ascii="Arial" w:cs="Arial" w:eastAsia="Arial" w:hAnsi="Arial"/>
          <w:color w:val="1C2024"/>
          <w:sz w:val="22"/>
          <w:szCs w:val="22"/>
        </w:rPr>
        <w:t xml:space="preserve"> (amber) — past 50% of decay window but not yet stale</w:t>
      </w:r>
    </w:p>
    <w:p>
      <w:pPr>
        <w:pStyle w:val="ListParagraph"/>
        <w:numPr>
          <w:ilvl w:val="0"/>
          <w:numId w:val="2"/>
        </w:numPr>
        <w:spacing w:after="100"/>
      </w:pPr>
      <w:r>
        <w:rPr>
          <w:rFonts w:ascii="Arial" w:cs="Arial" w:eastAsia="Arial" w:hAnsi="Arial"/>
          <w:b/>
          <w:bCs/>
          <w:color w:val="1C2024"/>
          <w:sz w:val="22"/>
          <w:szCs w:val="22"/>
        </w:rPr>
        <w:t xml:space="preserve">Stale</w:t>
      </w:r>
      <w:r>
        <w:rPr>
          <w:rFonts w:ascii="Arial" w:cs="Arial" w:eastAsia="Arial" w:hAnsi="Arial"/>
          <w:color w:val="1C2024"/>
          <w:sz w:val="22"/>
          <w:szCs w:val="22"/>
        </w:rPr>
        <w:t xml:space="preserve"> (red) — past decay threshold, needs attention</w:t>
      </w:r>
    </w:p>
    <w:p>
      <w:pPr>
        <w:spacing w:after="160"/>
      </w:pPr>
      <w:r>
        <w:rPr>
          <w:rFonts w:ascii="Arial" w:cs="Arial" w:eastAsia="Arial" w:hAnsi="Arial"/>
          <w:color w:val="1C2024"/>
          <w:sz w:val="22"/>
          <w:szCs w:val="22"/>
        </w:rPr>
        <w:t xml:space="preserve">The dashboard surfaces stale opportunities prominently. Logging any activity on an opportunity resets its last_activity_at and decay clock.</w:t>
      </w:r>
    </w:p>
    <w:p>
      <w:pPr>
        <w:pStyle w:val="Heading3"/>
      </w:pPr>
      <w:r>
        <w:t xml:space="preserve">Migration from Notes</w:t>
      </w:r>
    </w:p>
    <w:p>
      <w:pPr>
        <w:spacing w:after="160"/>
      </w:pPr>
      <w:r>
        <w:rPr>
          <w:rFonts w:ascii="Arial" w:cs="Arial" w:eastAsia="Arial" w:hAnsi="Arial"/>
          <w:color w:val="1C2024"/>
          <w:sz w:val="22"/>
          <w:szCs w:val="22"/>
        </w:rPr>
        <w:t xml:space="preserve">The existing contact_notes and group_notes tables are preserved as-is. New activities use the activities table. The CRM drawer is updated to show both legacy notes and new activities in a unified timeline. Over time, all new logging goes through activities.</w:t>
      </w:r>
    </w:p>
    <w:p>
      <w:pPr>
        <w:pBdr>
          <w:bottom w:val="single" w:color="D0D5DD" w:sz="2" w:space="1"/>
        </w:pBdr>
        <w:spacing w:after="200" w:before="200"/>
      </w:pPr>
    </w:p>
    <w:p>
      <w:pPr>
        <w:pStyle w:val="Heading1"/>
      </w:pPr>
      <w:r>
        <w:t xml:space="preserve">9. Contact Type Taxonomy</w:t>
      </w:r>
    </w:p>
    <w:p>
      <w:pPr>
        <w:spacing w:after="160"/>
      </w:pPr>
      <w:r>
        <w:rPr>
          <w:rFonts w:ascii="Arial" w:cs="Arial" w:eastAsia="Arial" w:hAnsi="Arial"/>
          <w:color w:val="1C2024"/>
          <w:sz w:val="22"/>
          <w:szCs w:val="22"/>
        </w:rPr>
        <w:t xml:space="preserve">Your HubSpot type_of_contact field has a well-structured set of contact types that capture the different roles people play in CRE. This should be brought into Cleo.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Seller</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Property owner looking to sell</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Buyer - Investor</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Looking to acquire for investment/income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Buyer - Developer</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Looking to acquire for development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Buyer - Owner Occupier</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Looking to acquire for own use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National Tenant</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Branded chain looking for space (Shoppers, Tim Hortons, etc.)</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Local Tenant</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Local business looking for space</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Landlord</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Property owner/manager (not actively selling)</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Professional Contact</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Lawyer, appraiser, mortgage broker, etc.</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Personal Contact</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Non-business relationship</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Commercial Realtor</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Fellow CRE agent</w:t>
            </w:r>
          </w:p>
        </w:tc>
      </w:tr>
      <w:tr>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Residential Realtor</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Residential agent (potential referral source)</w:t>
            </w:r>
          </w:p>
        </w:tc>
      </w:tr>
    </w:tbl>
    <w:p>
      <w:pPr>
        <w:spacing w:after="80"/>
      </w:pPr>
    </w:p>
    <w:p>
      <w:pPr>
        <w:spacing w:after="160"/>
      </w:pPr>
      <w:r>
        <w:rPr>
          <w:rFonts w:ascii="Arial" w:cs="Arial" w:eastAsia="Arial" w:hAnsi="Arial"/>
          <w:color w:val="1C2024"/>
          <w:sz w:val="22"/>
          <w:szCs w:val="22"/>
        </w:rPr>
        <w:t xml:space="preserve">Add a contact_type column to the contacts table. This is a CRM-layer field (manually set, never overwritten by the compiler). Filterable on the Contacts page. Syncs bidirectionally with HubSpot’s type_of_contact.</w:t>
      </w:r>
    </w:p>
    <w:p>
      <w:pPr>
        <w:pBdr>
          <w:bottom w:val="single" w:color="D0D5DD" w:sz="2" w:space="1"/>
        </w:pBdr>
        <w:spacing w:after="200" w:before="200"/>
      </w:pPr>
    </w:p>
    <w:p>
      <w:pPr>
        <w:pStyle w:val="Heading1"/>
      </w:pPr>
      <w:r>
        <w:t xml:space="preserve">10. HubSpot Sync Strategy</w:t>
      </w:r>
    </w:p>
    <w:p>
      <w:pPr>
        <w:spacing w:after="160"/>
      </w:pPr>
      <w:r>
        <w:rPr>
          <w:rFonts w:ascii="Arial" w:cs="Arial" w:eastAsia="Arial" w:hAnsi="Arial"/>
          <w:color w:val="1C2024"/>
          <w:sz w:val="22"/>
          <w:szCs w:val="22"/>
        </w:rPr>
        <w:t xml:space="preserve">HubSpot is a temporary sync target. The goal is to keep contact/company records in sync so that HubSpot’s email tracking (BCC auto-logging) works, and to sync activities back into Cleo. The opportunity/mandate system lives exclusively in Cleo.</w:t>
      </w:r>
    </w:p>
    <w:p>
      <w:pPr>
        <w:pStyle w:val="Heading3"/>
      </w:pPr>
      <w:r>
        <w:t xml:space="preserve">What Syncs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Cleo Entity</w:t>
            </w:r>
          </w:p>
        </w:tc>
        <w:tc>
          <w:tcPr>
            <w:tcW w:type="dxa" w:w="20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HubSpot Entity</w:t>
            </w:r>
          </w:p>
        </w:tc>
        <w:tc>
          <w:tcPr>
            <w:tcW w:type="dxa" w:w="220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160"/>
            <w:tcBorders>
              <w:top w:val="single" w:color="D0D5DD" w:sz="1"/>
              <w:left w:val="single" w:color="D0D5DD" w:sz="1"/>
              <w:bottom w:val="single" w:color="D0D5DD" w:sz="1"/>
              <w:right w:val="single" w:color="D0D5DD" w:sz="1"/>
            </w:tcBorders>
            <w:shd w:fill="2B7C5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Contact</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Contact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Bidirectional</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name, email, phone, mobile, job_title, contact_type, lifecycle_stage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Group</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Company</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Bidirectional</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name, address, website, phone, lifecycle_stage</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Activity (email)</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Engagement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HubSpot → Cleo</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BCC-tracked emails become activities in Cleo</w:t>
            </w:r>
          </w:p>
        </w:tc>
      </w:tr>
      <w:tr>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Deal</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Deal</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Cleo → HubSpot</w:t>
            </w:r>
          </w:p>
        </w:tc>
        <w:tc>
          <w:tcPr>
            <w:tcW w:type="dxa" w:w="3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1C2024"/>
                <w:sz w:val="20"/>
                <w:szCs w:val="20"/>
              </w:rPr>
              <w:t xml:space="preserve">Only pipeline deals (In Negotiation+), mapped to Sellers Pipeline stages</w:t>
            </w:r>
          </w:p>
        </w:tc>
      </w:tr>
    </w:tbl>
    <w:p>
      <w:pPr>
        <w:spacing w:after="80"/>
      </w:pPr>
    </w:p>
    <w:p>
      <w:pPr>
        <w:pStyle w:val="Heading3"/>
      </w:pPr>
      <w:r>
        <w:t xml:space="preserve">What Does NOT Sync</w:t>
      </w:r>
    </w:p>
    <w:p>
      <w:pPr>
        <w:pStyle w:val="ListParagraph"/>
        <w:numPr>
          <w:ilvl w:val="0"/>
          <w:numId w:val="2"/>
        </w:numPr>
        <w:spacing w:after="100"/>
      </w:pPr>
      <w:r>
        <w:rPr>
          <w:rFonts w:ascii="Arial" w:cs="Arial" w:eastAsia="Arial" w:hAnsi="Arial"/>
          <w:color w:val="1C2024"/>
          <w:sz w:val="22"/>
          <w:szCs w:val="22"/>
        </w:rPr>
        <w:t xml:space="preserve">Sell Opportunities (no HubSpot equivalent)</w:t>
      </w:r>
    </w:p>
    <w:p>
      <w:pPr>
        <w:pStyle w:val="ListParagraph"/>
        <w:numPr>
          <w:ilvl w:val="0"/>
          <w:numId w:val="2"/>
        </w:numPr>
        <w:spacing w:after="100"/>
      </w:pPr>
      <w:r>
        <w:rPr>
          <w:rFonts w:ascii="Arial" w:cs="Arial" w:eastAsia="Arial" w:hAnsi="Arial"/>
          <w:color w:val="1C2024"/>
          <w:sz w:val="22"/>
          <w:szCs w:val="22"/>
        </w:rPr>
        <w:t xml:space="preserve">Buy Mandates (no HubSpot equivalent)</w:t>
      </w:r>
    </w:p>
    <w:p>
      <w:pPr>
        <w:pStyle w:val="ListParagraph"/>
        <w:numPr>
          <w:ilvl w:val="0"/>
          <w:numId w:val="2"/>
        </w:numPr>
        <w:spacing w:after="100"/>
      </w:pPr>
      <w:r>
        <w:rPr>
          <w:rFonts w:ascii="Arial" w:cs="Arial" w:eastAsia="Arial" w:hAnsi="Arial"/>
          <w:color w:val="1C2024"/>
          <w:sz w:val="22"/>
          <w:szCs w:val="22"/>
        </w:rPr>
        <w:t xml:space="preserve">Match suggestions</w:t>
      </w:r>
    </w:p>
    <w:p>
      <w:pPr>
        <w:pStyle w:val="ListParagraph"/>
        <w:numPr>
          <w:ilvl w:val="0"/>
          <w:numId w:val="2"/>
        </w:numPr>
        <w:spacing w:after="100"/>
      </w:pPr>
      <w:r>
        <w:rPr>
          <w:rFonts w:ascii="Arial" w:cs="Arial" w:eastAsia="Arial" w:hAnsi="Arial"/>
          <w:color w:val="1C2024"/>
          <w:sz w:val="22"/>
          <w:szCs w:val="22"/>
        </w:rPr>
        <w:t xml:space="preserve">Decay/stale status</w:t>
      </w:r>
    </w:p>
    <w:p>
      <w:pPr>
        <w:pStyle w:val="Heading3"/>
      </w:pPr>
      <w:r>
        <w:t xml:space="preserve">Sync Mechanism</w:t>
      </w:r>
    </w:p>
    <w:p>
      <w:pPr>
        <w:spacing w:after="160"/>
      </w:pPr>
      <w:r>
        <w:rPr>
          <w:rFonts w:ascii="Arial" w:cs="Arial" w:eastAsia="Arial" w:hAnsi="Arial"/>
          <w:color w:val="1C2024"/>
          <w:sz w:val="22"/>
          <w:szCs w:val="22"/>
        </w:rPr>
        <w:t xml:space="preserve">Use Make.com (already connected) with scheduled scenarios. Cleo exposes sync-specific API endpoints that return records changed since a given timestamp. Make calls HubSpot’s API to create/update. Reverse direction: Make watches HubSpot for new email engagements and writes them to Cleo’s activities API.</w:t>
      </w:r>
    </w:p>
    <w:p>
      <w:pPr>
        <w:spacing w:after="160"/>
      </w:pPr>
      <w:r>
        <w:rPr>
          <w:rFonts w:ascii="Arial" w:cs="Arial" w:eastAsia="Arial" w:hAnsi="Arial"/>
          <w:color w:val="1C2024"/>
          <w:sz w:val="22"/>
          <w:szCs w:val="22"/>
        </w:rPr>
        <w:t xml:space="preserve">This keeps the sync logic outside the Python backend, making it easier to iterate without deploying code. If/when HubSpot is retired, the sync scenarios are simply turned off.</w:t>
      </w:r>
    </w:p>
    <w:p>
      <w:pPr>
        <w:pBdr>
          <w:bottom w:val="single" w:color="D0D5DD" w:sz="2" w:space="1"/>
        </w:pBdr>
        <w:spacing w:after="200" w:before="200"/>
      </w:pPr>
    </w:p>
    <w:p>
      <w:pPr>
        <w:pStyle w:val="Heading1"/>
      </w:pPr>
      <w:r>
        <w:t xml:space="preserve">11. Phased Build Order</w:t>
      </w:r>
    </w:p>
    <w:p>
      <w:pPr>
        <w:spacing w:after="160"/>
      </w:pPr>
      <w:r>
        <w:rPr>
          <w:rFonts w:ascii="Arial" w:cs="Arial" w:eastAsia="Arial" w:hAnsi="Arial"/>
          <w:color w:val="1C2024"/>
          <w:sz w:val="22"/>
          <w:szCs w:val="22"/>
        </w:rPr>
        <w:t xml:space="preserve">Each phase delivers standalone value. No phase depends on a later phase. Work proceeds in order, with commits after every working change.</w:t>
      </w:r>
    </w:p>
    <w:p>
      <w:r>
        <w:br w:type="page"/>
      </w:r>
    </w:p>
    <w:p>
      <w:pPr>
        <w:pStyle w:val="Heading2"/>
      </w:pPr>
      <w:r>
        <w:t xml:space="preserve">Phase 1: Asset Class Taxonomy</w:t>
      </w:r>
    </w:p>
    <w:p>
      <w:pPr>
        <w:spacing w:after="160"/>
      </w:pPr>
      <w:r>
        <w:rPr>
          <w:rFonts w:ascii="Arial" w:cs="Arial" w:eastAsia="Arial" w:hAnsi="Arial"/>
          <w:b/>
          <w:bCs/>
          <w:color w:val="1C2024"/>
          <w:sz w:val="22"/>
          <w:szCs w:val="22"/>
        </w:rPr>
        <w:t xml:space="preserve">Duration: </w:t>
      </w:r>
      <w:r>
        <w:rPr>
          <w:rFonts w:ascii="Arial" w:cs="Arial" w:eastAsia="Arial" w:hAnsi="Arial"/>
          <w:color w:val="1C2024"/>
          <w:sz w:val="22"/>
          <w:szCs w:val="22"/>
        </w:rPr>
        <w:t xml:space="preserve">~1 day</w:t>
      </w:r>
    </w:p>
    <w:p>
      <w:pPr>
        <w:spacing w:after="160"/>
      </w:pPr>
      <w:r>
        <w:rPr>
          <w:rFonts w:ascii="Arial" w:cs="Arial" w:eastAsia="Arial" w:hAnsi="Arial"/>
          <w:b/>
          <w:bCs/>
          <w:color w:val="1C2024"/>
          <w:sz w:val="22"/>
          <w:szCs w:val="22"/>
        </w:rPr>
        <w:t xml:space="preserve">Risk: </w:t>
      </w:r>
      <w:r>
        <w:rPr>
          <w:rFonts w:ascii="Arial" w:cs="Arial" w:eastAsia="Arial" w:hAnsi="Arial"/>
          <w:color w:val="1C2024"/>
          <w:sz w:val="22"/>
          <w:szCs w:val="22"/>
        </w:rPr>
        <w:t xml:space="preserve">Low — additive only, no existing features affected</w:t>
      </w:r>
    </w:p>
    <w:p>
      <w:pPr>
        <w:pStyle w:val="ListParagraph"/>
        <w:numPr>
          <w:ilvl w:val="0"/>
          <w:numId w:val="4"/>
        </w:numPr>
        <w:spacing w:after="100"/>
      </w:pPr>
      <w:r>
        <w:rPr>
          <w:rFonts w:ascii="Arial" w:cs="Arial" w:eastAsia="Arial" w:hAnsi="Arial"/>
          <w:color w:val="1C2024"/>
          <w:sz w:val="22"/>
          <w:szCs w:val="22"/>
        </w:rPr>
        <w:t xml:space="preserve">Create asset_classes reference table (8 broad + 31 subcategories)</w:t>
      </w:r>
    </w:p>
    <w:p>
      <w:pPr>
        <w:pStyle w:val="ListParagraph"/>
        <w:numPr>
          <w:ilvl w:val="0"/>
          <w:numId w:val="4"/>
        </w:numPr>
        <w:spacing w:after="100"/>
      </w:pPr>
      <w:r>
        <w:rPr>
          <w:rFonts w:ascii="Arial" w:cs="Arial" w:eastAsia="Arial" w:hAnsi="Arial"/>
          <w:color w:val="1C2024"/>
          <w:sz w:val="22"/>
          <w:szCs w:val="22"/>
        </w:rPr>
        <w:t xml:space="preserve">Add asset_class and asset_subclass columns to properties table</w:t>
      </w:r>
    </w:p>
    <w:p>
      <w:pPr>
        <w:pStyle w:val="ListParagraph"/>
        <w:numPr>
          <w:ilvl w:val="0"/>
          <w:numId w:val="4"/>
        </w:numPr>
        <w:spacing w:after="100"/>
      </w:pPr>
      <w:r>
        <w:rPr>
          <w:rFonts w:ascii="Arial" w:cs="Arial" w:eastAsia="Arial" w:hAnsi="Arial"/>
          <w:color w:val="1C2024"/>
          <w:sz w:val="22"/>
          <w:szCs w:val="22"/>
        </w:rPr>
        <w:t xml:space="preserve">Write migration to populate asset_class from primary_property_type mapping</w:t>
      </w:r>
    </w:p>
    <w:p>
      <w:pPr>
        <w:pStyle w:val="ListParagraph"/>
        <w:numPr>
          <w:ilvl w:val="0"/>
          <w:numId w:val="4"/>
        </w:numPr>
        <w:spacing w:after="100"/>
      </w:pPr>
      <w:r>
        <w:rPr>
          <w:rFonts w:ascii="Arial" w:cs="Arial" w:eastAsia="Arial" w:hAnsi="Arial"/>
          <w:color w:val="1C2024"/>
          <w:sz w:val="22"/>
          <w:szCs w:val="22"/>
        </w:rPr>
        <w:t xml:space="preserve">Update compiler writer to set asset_class on rebuild</w:t>
      </w:r>
    </w:p>
    <w:p>
      <w:pPr>
        <w:pStyle w:val="ListParagraph"/>
        <w:numPr>
          <w:ilvl w:val="0"/>
          <w:numId w:val="4"/>
        </w:numPr>
        <w:spacing w:after="100"/>
      </w:pPr>
      <w:r>
        <w:rPr>
          <w:rFonts w:ascii="Arial" w:cs="Arial" w:eastAsia="Arial" w:hAnsi="Arial"/>
          <w:color w:val="1C2024"/>
          <w:sz w:val="22"/>
          <w:szCs w:val="22"/>
        </w:rPr>
        <w:t xml:space="preserve">Add API endpoint to list asset classes (for filter dropdowns)</w:t>
      </w:r>
    </w:p>
    <w:p>
      <w:pPr>
        <w:pStyle w:val="ListParagraph"/>
        <w:numPr>
          <w:ilvl w:val="0"/>
          <w:numId w:val="4"/>
        </w:numPr>
        <w:spacing w:after="100"/>
      </w:pPr>
      <w:r>
        <w:rPr>
          <w:rFonts w:ascii="Arial" w:cs="Arial" w:eastAsia="Arial" w:hAnsi="Arial"/>
          <w:color w:val="1C2024"/>
          <w:sz w:val="22"/>
          <w:szCs w:val="22"/>
        </w:rPr>
        <w:t xml:space="preserve">Add contact_type column to contacts table</w:t>
      </w:r>
    </w:p>
    <w:p>
      <w:pPr>
        <w:spacing w:after="80"/>
      </w:pPr>
    </w:p>
    <w:p>
      <w:pPr>
        <w:pStyle w:val="Heading2"/>
      </w:pPr>
      <w:r>
        <w:t xml:space="preserve">Phase 2: Filtering Engine</w:t>
      </w:r>
    </w:p>
    <w:p>
      <w:pPr>
        <w:spacing w:after="160"/>
      </w:pPr>
      <w:r>
        <w:rPr>
          <w:rFonts w:ascii="Arial" w:cs="Arial" w:eastAsia="Arial" w:hAnsi="Arial"/>
          <w:b/>
          <w:bCs/>
          <w:color w:val="1C2024"/>
          <w:sz w:val="22"/>
          <w:szCs w:val="22"/>
        </w:rPr>
        <w:t xml:space="preserve">Duration: </w:t>
      </w:r>
      <w:r>
        <w:rPr>
          <w:rFonts w:ascii="Arial" w:cs="Arial" w:eastAsia="Arial" w:hAnsi="Arial"/>
          <w:color w:val="1C2024"/>
          <w:sz w:val="22"/>
          <w:szCs w:val="22"/>
        </w:rPr>
        <w:t xml:space="preserve">~3 days</w:t>
      </w:r>
    </w:p>
    <w:p>
      <w:pPr>
        <w:spacing w:after="160"/>
      </w:pPr>
      <w:r>
        <w:rPr>
          <w:rFonts w:ascii="Arial" w:cs="Arial" w:eastAsia="Arial" w:hAnsi="Arial"/>
          <w:b/>
          <w:bCs/>
          <w:color w:val="1C2024"/>
          <w:sz w:val="22"/>
          <w:szCs w:val="22"/>
        </w:rPr>
        <w:t xml:space="preserve">Risk: </w:t>
      </w:r>
      <w:r>
        <w:rPr>
          <w:rFonts w:ascii="Arial" w:cs="Arial" w:eastAsia="Arial" w:hAnsi="Arial"/>
          <w:color w:val="1C2024"/>
          <w:sz w:val="22"/>
          <w:szCs w:val="22"/>
        </w:rPr>
        <w:t xml:space="preserve">Low — additive UI, backend changes are new query params only</w:t>
      </w:r>
    </w:p>
    <w:p>
      <w:pPr>
        <w:pStyle w:val="ListParagraph"/>
        <w:numPr>
          <w:ilvl w:val="0"/>
          <w:numId w:val="5"/>
        </w:numPr>
        <w:spacing w:after="100"/>
      </w:pPr>
      <w:r>
        <w:rPr>
          <w:rFonts w:ascii="Arial" w:cs="Arial" w:eastAsia="Arial" w:hAnsi="Arial"/>
          <w:color w:val="1C2024"/>
          <w:sz w:val="22"/>
          <w:szCs w:val="22"/>
        </w:rPr>
        <w:t xml:space="preserve">Build FilterPanel component (collapsible sidebar, range inputs, multi-selects)</w:t>
      </w:r>
    </w:p>
    <w:p>
      <w:pPr>
        <w:pStyle w:val="ListParagraph"/>
        <w:numPr>
          <w:ilvl w:val="0"/>
          <w:numId w:val="5"/>
        </w:numPr>
        <w:spacing w:after="100"/>
      </w:pPr>
      <w:r>
        <w:rPr>
          <w:rFonts w:ascii="Arial" w:cs="Arial" w:eastAsia="Arial" w:hAnsi="Arial"/>
          <w:color w:val="1C2024"/>
          <w:sz w:val="22"/>
          <w:szCs w:val="22"/>
        </w:rPr>
        <w:t xml:space="preserve">Groups page: wire up all filter dimensions (portfolio value, property count, asset class mix, brand presence, geographic radius, region, velocity, status)</w:t>
      </w:r>
    </w:p>
    <w:p>
      <w:pPr>
        <w:pStyle w:val="ListParagraph"/>
        <w:numPr>
          <w:ilvl w:val="0"/>
          <w:numId w:val="5"/>
        </w:numPr>
        <w:spacing w:after="100"/>
      </w:pPr>
      <w:r>
        <w:rPr>
          <w:rFonts w:ascii="Arial" w:cs="Arial" w:eastAsia="Arial" w:hAnsi="Arial"/>
          <w:color w:val="1C2024"/>
          <w:sz w:val="22"/>
          <w:szCs w:val="22"/>
        </w:rPr>
        <w:t xml:space="preserve">Groups backend: add range filters and JOIN-based filters (brand count, asset class count)</w:t>
      </w:r>
    </w:p>
    <w:p>
      <w:pPr>
        <w:pStyle w:val="ListParagraph"/>
        <w:numPr>
          <w:ilvl w:val="0"/>
          <w:numId w:val="5"/>
        </w:numPr>
        <w:spacing w:after="100"/>
      </w:pPr>
      <w:r>
        <w:rPr>
          <w:rFonts w:ascii="Arial" w:cs="Arial" w:eastAsia="Arial" w:hAnsi="Arial"/>
          <w:color w:val="1C2024"/>
          <w:sz w:val="22"/>
          <w:szCs w:val="22"/>
        </w:rPr>
        <w:t xml:space="preserve">Contacts page: wire up filters (status, transaction count, asset classes, region, contact type)</w:t>
      </w:r>
    </w:p>
    <w:p>
      <w:pPr>
        <w:pStyle w:val="ListParagraph"/>
        <w:numPr>
          <w:ilvl w:val="0"/>
          <w:numId w:val="5"/>
        </w:numPr>
        <w:spacing w:after="100"/>
      </w:pPr>
      <w:r>
        <w:rPr>
          <w:rFonts w:ascii="Arial" w:cs="Arial" w:eastAsia="Arial" w:hAnsi="Arial"/>
          <w:color w:val="1C2024"/>
          <w:sz w:val="22"/>
          <w:szCs w:val="22"/>
        </w:rPr>
        <w:t xml:space="preserve">Contacts backend: add filter params</w:t>
      </w:r>
    </w:p>
    <w:p>
      <w:pPr>
        <w:pStyle w:val="ListParagraph"/>
        <w:numPr>
          <w:ilvl w:val="0"/>
          <w:numId w:val="5"/>
        </w:numPr>
        <w:spacing w:after="100"/>
      </w:pPr>
      <w:r>
        <w:rPr>
          <w:rFonts w:ascii="Arial" w:cs="Arial" w:eastAsia="Arial" w:hAnsi="Arial"/>
          <w:color w:val="1C2024"/>
          <w:sz w:val="22"/>
          <w:szCs w:val="22"/>
        </w:rPr>
        <w:t xml:space="preserve">Properties page: replace category dropdown with asset class filter, expose price range and region</w:t>
      </w:r>
    </w:p>
    <w:p>
      <w:pPr>
        <w:pStyle w:val="ListParagraph"/>
        <w:numPr>
          <w:ilvl w:val="0"/>
          <w:numId w:val="5"/>
        </w:numPr>
        <w:spacing w:after="100"/>
      </w:pPr>
      <w:r>
        <w:rPr>
          <w:rFonts w:ascii="Arial" w:cs="Arial" w:eastAsia="Arial" w:hAnsi="Arial"/>
          <w:color w:val="1C2024"/>
          <w:sz w:val="22"/>
          <w:szCs w:val="22"/>
        </w:rPr>
        <w:t xml:space="preserve">URL-based filter state for bookmarkable filtered views</w:t>
      </w:r>
    </w:p>
    <w:p>
      <w:pPr>
        <w:spacing w:after="80"/>
      </w:pPr>
    </w:p>
    <w:p>
      <w:pPr>
        <w:pStyle w:val="Heading2"/>
      </w:pPr>
      <w:r>
        <w:t xml:space="preserve">Phase 3: Visual Context</w:t>
      </w:r>
    </w:p>
    <w:p>
      <w:pPr>
        <w:spacing w:after="160"/>
      </w:pPr>
      <w:r>
        <w:rPr>
          <w:rFonts w:ascii="Arial" w:cs="Arial" w:eastAsia="Arial" w:hAnsi="Arial"/>
          <w:b/>
          <w:bCs/>
          <w:color w:val="1C2024"/>
          <w:sz w:val="22"/>
          <w:szCs w:val="22"/>
        </w:rPr>
        <w:t xml:space="preserve">Duration: </w:t>
      </w:r>
      <w:r>
        <w:rPr>
          <w:rFonts w:ascii="Arial" w:cs="Arial" w:eastAsia="Arial" w:hAnsi="Arial"/>
          <w:color w:val="1C2024"/>
          <w:sz w:val="22"/>
          <w:szCs w:val="22"/>
        </w:rPr>
        <w:t xml:space="preserve">~1 day</w:t>
      </w:r>
    </w:p>
    <w:p>
      <w:pPr>
        <w:spacing w:after="160"/>
      </w:pPr>
      <w:r>
        <w:rPr>
          <w:rFonts w:ascii="Arial" w:cs="Arial" w:eastAsia="Arial" w:hAnsi="Arial"/>
          <w:b/>
          <w:bCs/>
          <w:color w:val="1C2024"/>
          <w:sz w:val="22"/>
          <w:szCs w:val="22"/>
        </w:rPr>
        <w:t xml:space="preserve">Risk: </w:t>
      </w:r>
      <w:r>
        <w:rPr>
          <w:rFonts w:ascii="Arial" w:cs="Arial" w:eastAsia="Arial" w:hAnsi="Arial"/>
          <w:color w:val="1C2024"/>
          <w:sz w:val="22"/>
          <w:szCs w:val="22"/>
        </w:rPr>
        <w:t xml:space="preserve">Low — new component, no existing features affected</w:t>
      </w:r>
    </w:p>
    <w:p>
      <w:pPr>
        <w:pStyle w:val="ListParagraph"/>
        <w:numPr>
          <w:ilvl w:val="0"/>
          <w:numId w:val="6"/>
        </w:numPr>
        <w:spacing w:after="100"/>
      </w:pPr>
      <w:r>
        <w:rPr>
          <w:rFonts w:ascii="Arial" w:cs="Arial" w:eastAsia="Arial" w:hAnsi="Arial"/>
          <w:color w:val="1C2024"/>
          <w:sz w:val="22"/>
          <w:szCs w:val="22"/>
        </w:rPr>
        <w:t xml:space="preserve">Build PropertyMiniMap component (Mapbox, color-coded pins by asset class)</w:t>
      </w:r>
    </w:p>
    <w:p>
      <w:pPr>
        <w:pStyle w:val="ListParagraph"/>
        <w:numPr>
          <w:ilvl w:val="0"/>
          <w:numId w:val="6"/>
        </w:numPr>
        <w:spacing w:after="100"/>
      </w:pPr>
      <w:r>
        <w:rPr>
          <w:rFonts w:ascii="Arial" w:cs="Arial" w:eastAsia="Arial" w:hAnsi="Arial"/>
          <w:color w:val="1C2024"/>
          <w:sz w:val="22"/>
          <w:szCs w:val="22"/>
        </w:rPr>
        <w:t xml:space="preserve">Add to Group detail page (with HQ marker)</w:t>
      </w:r>
    </w:p>
    <w:p>
      <w:pPr>
        <w:pStyle w:val="ListParagraph"/>
        <w:numPr>
          <w:ilvl w:val="0"/>
          <w:numId w:val="6"/>
        </w:numPr>
        <w:spacing w:after="100"/>
      </w:pPr>
      <w:r>
        <w:rPr>
          <w:rFonts w:ascii="Arial" w:cs="Arial" w:eastAsia="Arial" w:hAnsi="Arial"/>
          <w:color w:val="1C2024"/>
          <w:sz w:val="22"/>
          <w:szCs w:val="22"/>
        </w:rPr>
        <w:t xml:space="preserve">Add to Contact detail page (historical property footprint via transaction_parties)</w:t>
      </w:r>
    </w:p>
    <w:p>
      <w:pPr>
        <w:pStyle w:val="ListParagraph"/>
        <w:numPr>
          <w:ilvl w:val="0"/>
          <w:numId w:val="6"/>
        </w:numPr>
        <w:spacing w:after="100"/>
      </w:pPr>
      <w:r>
        <w:rPr>
          <w:rFonts w:ascii="Arial" w:cs="Arial" w:eastAsia="Arial" w:hAnsi="Arial"/>
          <w:color w:val="1C2024"/>
          <w:sz w:val="22"/>
          <w:szCs w:val="22"/>
        </w:rPr>
        <w:t xml:space="preserve">Add API endpoint for contact property history (all properties from transaction_parties)</w:t>
      </w:r>
    </w:p>
    <w:p>
      <w:pPr>
        <w:spacing w:after="80"/>
      </w:pPr>
    </w:p>
    <w:p>
      <w:pPr>
        <w:pStyle w:val="Heading2"/>
      </w:pPr>
      <w:r>
        <w:t xml:space="preserve">Phase 4: Opportunities &amp; Mandates</w:t>
      </w:r>
    </w:p>
    <w:p>
      <w:pPr>
        <w:spacing w:after="160"/>
      </w:pPr>
      <w:r>
        <w:rPr>
          <w:rFonts w:ascii="Arial" w:cs="Arial" w:eastAsia="Arial" w:hAnsi="Arial"/>
          <w:b/>
          <w:bCs/>
          <w:color w:val="1C2024"/>
          <w:sz w:val="22"/>
          <w:szCs w:val="22"/>
        </w:rPr>
        <w:t xml:space="preserve">Duration: </w:t>
      </w:r>
      <w:r>
        <w:rPr>
          <w:rFonts w:ascii="Arial" w:cs="Arial" w:eastAsia="Arial" w:hAnsi="Arial"/>
          <w:color w:val="1C2024"/>
          <w:sz w:val="22"/>
          <w:szCs w:val="22"/>
        </w:rPr>
        <w:t xml:space="preserve">~4–5 days</w:t>
      </w:r>
    </w:p>
    <w:p>
      <w:pPr>
        <w:spacing w:after="160"/>
      </w:pPr>
      <w:r>
        <w:rPr>
          <w:rFonts w:ascii="Arial" w:cs="Arial" w:eastAsia="Arial" w:hAnsi="Arial"/>
          <w:b/>
          <w:bCs/>
          <w:color w:val="1C2024"/>
          <w:sz w:val="22"/>
          <w:szCs w:val="22"/>
        </w:rPr>
        <w:t xml:space="preserve">Risk: </w:t>
      </w:r>
      <w:r>
        <w:rPr>
          <w:rFonts w:ascii="Arial" w:cs="Arial" w:eastAsia="Arial" w:hAnsi="Arial"/>
          <w:color w:val="1C2024"/>
          <w:sz w:val="22"/>
          <w:szCs w:val="22"/>
        </w:rPr>
        <w:t xml:space="preserve">Medium — new tables and UI, but no existing data is touched</w:t>
      </w:r>
    </w:p>
    <w:p>
      <w:pPr>
        <w:pStyle w:val="ListParagraph"/>
        <w:numPr>
          <w:ilvl w:val="0"/>
          <w:numId w:val="7"/>
        </w:numPr>
        <w:spacing w:after="100"/>
      </w:pPr>
      <w:r>
        <w:rPr>
          <w:rFonts w:ascii="Arial" w:cs="Arial" w:eastAsia="Arial" w:hAnsi="Arial"/>
          <w:color w:val="1C2024"/>
          <w:sz w:val="22"/>
          <w:szCs w:val="22"/>
        </w:rPr>
        <w:t xml:space="preserve">Create sell_opportunities, buy_mandates, and activities tables</w:t>
      </w:r>
    </w:p>
    <w:p>
      <w:pPr>
        <w:pStyle w:val="ListParagraph"/>
        <w:numPr>
          <w:ilvl w:val="0"/>
          <w:numId w:val="7"/>
        </w:numPr>
        <w:spacing w:after="100"/>
      </w:pPr>
      <w:r>
        <w:rPr>
          <w:rFonts w:ascii="Arial" w:cs="Arial" w:eastAsia="Arial" w:hAnsi="Arial"/>
          <w:color w:val="1C2024"/>
          <w:sz w:val="22"/>
          <w:szCs w:val="22"/>
        </w:rPr>
        <w:t xml:space="preserve">Build CRUD APIs for sell opportunities</w:t>
      </w:r>
    </w:p>
    <w:p>
      <w:pPr>
        <w:pStyle w:val="ListParagraph"/>
        <w:numPr>
          <w:ilvl w:val="0"/>
          <w:numId w:val="7"/>
        </w:numPr>
        <w:spacing w:after="100"/>
      </w:pPr>
      <w:r>
        <w:rPr>
          <w:rFonts w:ascii="Arial" w:cs="Arial" w:eastAsia="Arial" w:hAnsi="Arial"/>
          <w:color w:val="1C2024"/>
          <w:sz w:val="22"/>
          <w:szCs w:val="22"/>
        </w:rPr>
        <w:t xml:space="preserve">Build CRUD APIs for buy mandates</w:t>
      </w:r>
    </w:p>
    <w:p>
      <w:pPr>
        <w:pStyle w:val="ListParagraph"/>
        <w:numPr>
          <w:ilvl w:val="0"/>
          <w:numId w:val="7"/>
        </w:numPr>
        <w:spacing w:after="100"/>
      </w:pPr>
      <w:r>
        <w:rPr>
          <w:rFonts w:ascii="Arial" w:cs="Arial" w:eastAsia="Arial" w:hAnsi="Arial"/>
          <w:color w:val="1C2024"/>
          <w:sz w:val="22"/>
          <w:szCs w:val="22"/>
        </w:rPr>
        <w:t xml:space="preserve">Build activities API (log activity, list activities for entity)</w:t>
      </w:r>
    </w:p>
    <w:p>
      <w:pPr>
        <w:pStyle w:val="ListParagraph"/>
        <w:numPr>
          <w:ilvl w:val="0"/>
          <w:numId w:val="7"/>
        </w:numPr>
        <w:spacing w:after="100"/>
      </w:pPr>
      <w:r>
        <w:rPr>
          <w:rFonts w:ascii="Arial" w:cs="Arial" w:eastAsia="Arial" w:hAnsi="Arial"/>
          <w:color w:val="1C2024"/>
          <w:sz w:val="22"/>
          <w:szCs w:val="22"/>
        </w:rPr>
        <w:t xml:space="preserve">Sell Opportunity creation UI (from Property detail page: “Create Sell Opportunity” button)</w:t>
      </w:r>
    </w:p>
    <w:p>
      <w:pPr>
        <w:pStyle w:val="ListParagraph"/>
        <w:numPr>
          <w:ilvl w:val="0"/>
          <w:numId w:val="7"/>
        </w:numPr>
        <w:spacing w:after="100"/>
      </w:pPr>
      <w:r>
        <w:rPr>
          <w:rFonts w:ascii="Arial" w:cs="Arial" w:eastAsia="Arial" w:hAnsi="Arial"/>
          <w:color w:val="1C2024"/>
          <w:sz w:val="22"/>
          <w:szCs w:val="22"/>
        </w:rPr>
        <w:t xml:space="preserve">Buy Mandate creation UI (from Contact/Group detail: “Create Buy Mandate” button with criteria form)</w:t>
      </w:r>
    </w:p>
    <w:p>
      <w:pPr>
        <w:pStyle w:val="ListParagraph"/>
        <w:numPr>
          <w:ilvl w:val="0"/>
          <w:numId w:val="7"/>
        </w:numPr>
        <w:spacing w:after="100"/>
      </w:pPr>
      <w:r>
        <w:rPr>
          <w:rFonts w:ascii="Arial" w:cs="Arial" w:eastAsia="Arial" w:hAnsi="Arial"/>
          <w:color w:val="1C2024"/>
          <w:sz w:val="22"/>
          <w:szCs w:val="22"/>
        </w:rPr>
        <w:t xml:space="preserve">Opportunities list page (two tabs: Sell | Buy, with status filters and decay indicators)</w:t>
      </w:r>
    </w:p>
    <w:p>
      <w:pPr>
        <w:pStyle w:val="ListParagraph"/>
        <w:numPr>
          <w:ilvl w:val="0"/>
          <w:numId w:val="7"/>
        </w:numPr>
        <w:spacing w:after="100"/>
      </w:pPr>
      <w:r>
        <w:rPr>
          <w:rFonts w:ascii="Arial" w:cs="Arial" w:eastAsia="Arial" w:hAnsi="Arial"/>
          <w:color w:val="1C2024"/>
          <w:sz w:val="22"/>
          <w:szCs w:val="22"/>
        </w:rPr>
        <w:t xml:space="preserve">Opportunity detail pages (sell: property context + activity timeline; buy: criteria display + activity timeline)</w:t>
      </w:r>
    </w:p>
    <w:p>
      <w:pPr>
        <w:pStyle w:val="ListParagraph"/>
        <w:numPr>
          <w:ilvl w:val="0"/>
          <w:numId w:val="7"/>
        </w:numPr>
        <w:spacing w:after="100"/>
      </w:pPr>
      <w:r>
        <w:rPr>
          <w:rFonts w:ascii="Arial" w:cs="Arial" w:eastAsia="Arial" w:hAnsi="Arial"/>
          <w:color w:val="1C2024"/>
          <w:sz w:val="22"/>
          <w:szCs w:val="22"/>
        </w:rPr>
        <w:t xml:space="preserve">Implement decay tracking (stale calculation, visual indicators)</w:t>
      </w:r>
    </w:p>
    <w:p>
      <w:pPr>
        <w:pStyle w:val="ListParagraph"/>
        <w:numPr>
          <w:ilvl w:val="0"/>
          <w:numId w:val="7"/>
        </w:numPr>
        <w:spacing w:after="100"/>
      </w:pPr>
      <w:r>
        <w:rPr>
          <w:rFonts w:ascii="Arial" w:cs="Arial" w:eastAsia="Arial" w:hAnsi="Arial"/>
          <w:color w:val="1C2024"/>
          <w:sz w:val="22"/>
          <w:szCs w:val="22"/>
        </w:rPr>
        <w:t xml:space="preserve">Dashboard widget: stale opportunities count</w:t>
      </w:r>
    </w:p>
    <w:p>
      <w:pPr>
        <w:spacing w:after="80"/>
      </w:pPr>
    </w:p>
    <w:p>
      <w:pPr>
        <w:pStyle w:val="Heading2"/>
      </w:pPr>
      <w:r>
        <w:t xml:space="preserve">Phase 5: Matchmaking &amp; Pipeline</w:t>
      </w:r>
    </w:p>
    <w:p>
      <w:pPr>
        <w:spacing w:after="160"/>
      </w:pPr>
      <w:r>
        <w:rPr>
          <w:rFonts w:ascii="Arial" w:cs="Arial" w:eastAsia="Arial" w:hAnsi="Arial"/>
          <w:b/>
          <w:bCs/>
          <w:color w:val="1C2024"/>
          <w:sz w:val="22"/>
          <w:szCs w:val="22"/>
        </w:rPr>
        <w:t xml:space="preserve">Duration: </w:t>
      </w:r>
      <w:r>
        <w:rPr>
          <w:rFonts w:ascii="Arial" w:cs="Arial" w:eastAsia="Arial" w:hAnsi="Arial"/>
          <w:color w:val="1C2024"/>
          <w:sz w:val="22"/>
          <w:szCs w:val="22"/>
        </w:rPr>
        <w:t xml:space="preserve">~3–4 days</w:t>
      </w:r>
    </w:p>
    <w:p>
      <w:pPr>
        <w:spacing w:after="160"/>
      </w:pPr>
      <w:r>
        <w:rPr>
          <w:rFonts w:ascii="Arial" w:cs="Arial" w:eastAsia="Arial" w:hAnsi="Arial"/>
          <w:b/>
          <w:bCs/>
          <w:color w:val="1C2024"/>
          <w:sz w:val="22"/>
          <w:szCs w:val="22"/>
        </w:rPr>
        <w:t xml:space="preserve">Risk: </w:t>
      </w:r>
      <w:r>
        <w:rPr>
          <w:rFonts w:ascii="Arial" w:cs="Arial" w:eastAsia="Arial" w:hAnsi="Arial"/>
          <w:color w:val="1C2024"/>
          <w:sz w:val="22"/>
          <w:szCs w:val="22"/>
        </w:rPr>
        <w:t xml:space="preserve">Medium — depends on Phase 4 tables existing</w:t>
      </w:r>
    </w:p>
    <w:p>
      <w:pPr>
        <w:pStyle w:val="ListParagraph"/>
        <w:numPr>
          <w:ilvl w:val="0"/>
          <w:numId w:val="8"/>
        </w:numPr>
        <w:spacing w:after="100"/>
      </w:pPr>
      <w:r>
        <w:rPr>
          <w:rFonts w:ascii="Arial" w:cs="Arial" w:eastAsia="Arial" w:hAnsi="Arial"/>
          <w:color w:val="1C2024"/>
          <w:sz w:val="22"/>
          <w:szCs w:val="22"/>
        </w:rPr>
        <w:t xml:space="preserve">Build match query engine (criteria-based SQL matching)</w:t>
      </w:r>
    </w:p>
    <w:p>
      <w:pPr>
        <w:pStyle w:val="ListParagraph"/>
        <w:numPr>
          <w:ilvl w:val="0"/>
          <w:numId w:val="8"/>
        </w:numPr>
        <w:spacing w:after="100"/>
      </w:pPr>
      <w:r>
        <w:rPr>
          <w:rFonts w:ascii="Arial" w:cs="Arial" w:eastAsia="Arial" w:hAnsi="Arial"/>
          <w:color w:val="1C2024"/>
          <w:sz w:val="22"/>
          <w:szCs w:val="22"/>
        </w:rPr>
        <w:t xml:space="preserve">Sell Opportunity detail: “Potential Buyers” section with matching buy mandates</w:t>
      </w:r>
    </w:p>
    <w:p>
      <w:pPr>
        <w:pStyle w:val="ListParagraph"/>
        <w:numPr>
          <w:ilvl w:val="0"/>
          <w:numId w:val="8"/>
        </w:numPr>
        <w:spacing w:after="100"/>
      </w:pPr>
      <w:r>
        <w:rPr>
          <w:rFonts w:ascii="Arial" w:cs="Arial" w:eastAsia="Arial" w:hAnsi="Arial"/>
          <w:color w:val="1C2024"/>
          <w:sz w:val="22"/>
          <w:szCs w:val="22"/>
        </w:rPr>
        <w:t xml:space="preserve">Buy Mandate detail: “Matching Properties” section with matching properties/sell opportunities</w:t>
      </w:r>
    </w:p>
    <w:p>
      <w:pPr>
        <w:pStyle w:val="ListParagraph"/>
        <w:numPr>
          <w:ilvl w:val="0"/>
          <w:numId w:val="8"/>
        </w:numPr>
        <w:spacing w:after="100"/>
      </w:pPr>
      <w:r>
        <w:rPr>
          <w:rFonts w:ascii="Arial" w:cs="Arial" w:eastAsia="Arial" w:hAnsi="Arial"/>
          <w:color w:val="1C2024"/>
          <w:sz w:val="22"/>
          <w:szCs w:val="22"/>
        </w:rPr>
        <w:t xml:space="preserve">Match scoring (count of matching dimensions)</w:t>
      </w:r>
    </w:p>
    <w:p>
      <w:pPr>
        <w:pStyle w:val="ListParagraph"/>
        <w:numPr>
          <w:ilvl w:val="0"/>
          <w:numId w:val="8"/>
        </w:numPr>
        <w:spacing w:after="100"/>
      </w:pPr>
      <w:r>
        <w:rPr>
          <w:rFonts w:ascii="Arial" w:cs="Arial" w:eastAsia="Arial" w:hAnsi="Arial"/>
          <w:color w:val="1C2024"/>
          <w:sz w:val="22"/>
          <w:szCs w:val="22"/>
        </w:rPr>
        <w:t xml:space="preserve">Revise deals table schema (add sell_opportunity_id, buy_mandate_id, buyer/seller fields)</w:t>
      </w:r>
    </w:p>
    <w:p>
      <w:pPr>
        <w:pStyle w:val="ListParagraph"/>
        <w:numPr>
          <w:ilvl w:val="0"/>
          <w:numId w:val="8"/>
        </w:numPr>
        <w:spacing w:after="100"/>
      </w:pPr>
      <w:r>
        <w:rPr>
          <w:rFonts w:ascii="Arial" w:cs="Arial" w:eastAsia="Arial" w:hAnsi="Arial"/>
          <w:color w:val="1C2024"/>
          <w:sz w:val="22"/>
          <w:szCs w:val="22"/>
        </w:rPr>
        <w:t xml:space="preserve">“Create Deal” action from a match (pre-fills buyer + seller + property, enters at In Negotiation)</w:t>
      </w:r>
    </w:p>
    <w:p>
      <w:pPr>
        <w:pStyle w:val="ListParagraph"/>
        <w:numPr>
          <w:ilvl w:val="0"/>
          <w:numId w:val="8"/>
        </w:numPr>
        <w:spacing w:after="100"/>
      </w:pPr>
      <w:r>
        <w:rPr>
          <w:rFonts w:ascii="Arial" w:cs="Arial" w:eastAsia="Arial" w:hAnsi="Arial"/>
          <w:color w:val="1C2024"/>
          <w:sz w:val="22"/>
          <w:szCs w:val="22"/>
        </w:rPr>
        <w:t xml:space="preserve">Deal pipeline page (Kanban board: In Negotiation → Under Contract → Firm → Closed / Lost)</w:t>
      </w:r>
    </w:p>
    <w:p>
      <w:pPr>
        <w:pStyle w:val="ListParagraph"/>
        <w:numPr>
          <w:ilvl w:val="0"/>
          <w:numId w:val="8"/>
        </w:numPr>
        <w:spacing w:after="100"/>
      </w:pPr>
      <w:r>
        <w:rPr>
          <w:rFonts w:ascii="Arial" w:cs="Arial" w:eastAsia="Arial" w:hAnsi="Arial"/>
          <w:color w:val="1C2024"/>
          <w:sz w:val="22"/>
          <w:szCs w:val="22"/>
        </w:rPr>
        <w:t xml:space="preserve">Deal detail page (full context: property, buyer, seller, activity timeline)</w:t>
      </w:r>
    </w:p>
    <w:p>
      <w:pPr>
        <w:pStyle w:val="ListParagraph"/>
        <w:numPr>
          <w:ilvl w:val="0"/>
          <w:numId w:val="8"/>
        </w:numPr>
        <w:spacing w:after="100"/>
      </w:pPr>
      <w:r>
        <w:rPr>
          <w:rFonts w:ascii="Arial" w:cs="Arial" w:eastAsia="Arial" w:hAnsi="Arial"/>
          <w:color w:val="1C2024"/>
          <w:sz w:val="22"/>
          <w:szCs w:val="22"/>
        </w:rPr>
        <w:t xml:space="preserve">Dashboard: pipeline value, active deals count, new suggested matches</w:t>
      </w:r>
    </w:p>
    <w:p>
      <w:pPr>
        <w:spacing w:after="80"/>
      </w:pPr>
    </w:p>
    <w:p>
      <w:pPr>
        <w:pStyle w:val="Heading2"/>
      </w:pPr>
      <w:r>
        <w:t xml:space="preserve">Phase 6: HubSpot Bridge</w:t>
      </w:r>
    </w:p>
    <w:p>
      <w:pPr>
        <w:spacing w:after="160"/>
      </w:pPr>
      <w:r>
        <w:rPr>
          <w:rFonts w:ascii="Arial" w:cs="Arial" w:eastAsia="Arial" w:hAnsi="Arial"/>
          <w:b/>
          <w:bCs/>
          <w:color w:val="1C2024"/>
          <w:sz w:val="22"/>
          <w:szCs w:val="22"/>
        </w:rPr>
        <w:t xml:space="preserve">Duration: </w:t>
      </w:r>
      <w:r>
        <w:rPr>
          <w:rFonts w:ascii="Arial" w:cs="Arial" w:eastAsia="Arial" w:hAnsi="Arial"/>
          <w:color w:val="1C2024"/>
          <w:sz w:val="22"/>
          <w:szCs w:val="22"/>
        </w:rPr>
        <w:t xml:space="preserve">~2–3 days</w:t>
      </w:r>
    </w:p>
    <w:p>
      <w:pPr>
        <w:spacing w:after="160"/>
      </w:pPr>
      <w:r>
        <w:rPr>
          <w:rFonts w:ascii="Arial" w:cs="Arial" w:eastAsia="Arial" w:hAnsi="Arial"/>
          <w:b/>
          <w:bCs/>
          <w:color w:val="1C2024"/>
          <w:sz w:val="22"/>
          <w:szCs w:val="22"/>
        </w:rPr>
        <w:t xml:space="preserve">Risk: </w:t>
      </w:r>
      <w:r>
        <w:rPr>
          <w:rFonts w:ascii="Arial" w:cs="Arial" w:eastAsia="Arial" w:hAnsi="Arial"/>
          <w:color w:val="1C2024"/>
          <w:sz w:val="22"/>
          <w:szCs w:val="22"/>
        </w:rPr>
        <w:t xml:space="preserve">Low — sync is additive, uses Make.com, no core system dependency</w:t>
      </w:r>
    </w:p>
    <w:p>
      <w:pPr>
        <w:pStyle w:val="ListParagraph"/>
        <w:numPr>
          <w:ilvl w:val="0"/>
          <w:numId w:val="2"/>
        </w:numPr>
        <w:spacing w:after="100"/>
      </w:pPr>
      <w:r>
        <w:rPr>
          <w:rFonts w:ascii="Arial" w:cs="Arial" w:eastAsia="Arial" w:hAnsi="Arial"/>
          <w:color w:val="1C2024"/>
          <w:sz w:val="22"/>
          <w:szCs w:val="22"/>
        </w:rPr>
        <w:t xml:space="preserve">Add sync tracking fields (last_synced_at, sync_status) to contacts and groups</w:t>
      </w:r>
    </w:p>
    <w:p>
      <w:pPr>
        <w:pStyle w:val="ListParagraph"/>
        <w:numPr>
          <w:ilvl w:val="0"/>
          <w:numId w:val="2"/>
        </w:numPr>
        <w:spacing w:after="100"/>
      </w:pPr>
      <w:r>
        <w:rPr>
          <w:rFonts w:ascii="Arial" w:cs="Arial" w:eastAsia="Arial" w:hAnsi="Arial"/>
          <w:color w:val="1C2024"/>
          <w:sz w:val="22"/>
          <w:szCs w:val="22"/>
        </w:rPr>
        <w:t xml:space="preserve">Build sync API endpoints (/api/sync/contacts, /api/sync/groups, /api/sync/deals)</w:t>
      </w:r>
    </w:p>
    <w:p>
      <w:pPr>
        <w:pStyle w:val="ListParagraph"/>
        <w:numPr>
          <w:ilvl w:val="0"/>
          <w:numId w:val="2"/>
        </w:numPr>
        <w:spacing w:after="100"/>
      </w:pPr>
      <w:r>
        <w:rPr>
          <w:rFonts w:ascii="Arial" w:cs="Arial" w:eastAsia="Arial" w:hAnsi="Arial"/>
          <w:color w:val="1C2024"/>
          <w:sz w:val="22"/>
          <w:szCs w:val="22"/>
        </w:rPr>
        <w:t xml:space="preserve">Build Make.com scenario: Cleo contacts/groups → HubSpot contacts/companies</w:t>
      </w:r>
    </w:p>
    <w:p>
      <w:pPr>
        <w:pStyle w:val="ListParagraph"/>
        <w:numPr>
          <w:ilvl w:val="0"/>
          <w:numId w:val="2"/>
        </w:numPr>
        <w:spacing w:after="100"/>
      </w:pPr>
      <w:r>
        <w:rPr>
          <w:rFonts w:ascii="Arial" w:cs="Arial" w:eastAsia="Arial" w:hAnsi="Arial"/>
          <w:color w:val="1C2024"/>
          <w:sz w:val="22"/>
          <w:szCs w:val="22"/>
        </w:rPr>
        <w:t xml:space="preserve">Build Make.com scenario: HubSpot email engagements → Cleo activities</w:t>
      </w:r>
    </w:p>
    <w:p>
      <w:pPr>
        <w:pStyle w:val="ListParagraph"/>
        <w:numPr>
          <w:ilvl w:val="0"/>
          <w:numId w:val="2"/>
        </w:numPr>
        <w:spacing w:after="100"/>
      </w:pPr>
      <w:r>
        <w:rPr>
          <w:rFonts w:ascii="Arial" w:cs="Arial" w:eastAsia="Arial" w:hAnsi="Arial"/>
          <w:color w:val="1C2024"/>
          <w:sz w:val="22"/>
          <w:szCs w:val="22"/>
        </w:rPr>
        <w:t xml:space="preserve">Build Make.com scenario: Cleo pipeline deals → HubSpot Sellers Pipeline deals</w:t>
      </w:r>
    </w:p>
    <w:p>
      <w:pPr>
        <w:pStyle w:val="ListParagraph"/>
        <w:numPr>
          <w:ilvl w:val="0"/>
          <w:numId w:val="2"/>
        </w:numPr>
        <w:spacing w:after="100"/>
      </w:pPr>
      <w:r>
        <w:rPr>
          <w:rFonts w:ascii="Arial" w:cs="Arial" w:eastAsia="Arial" w:hAnsi="Arial"/>
          <w:color w:val="1C2024"/>
          <w:sz w:val="22"/>
          <w:szCs w:val="22"/>
        </w:rPr>
        <w:t xml:space="preserve">Test bidirectional sync, handle conflicts (last-write-wins by timestamp)</w:t>
      </w:r>
    </w:p>
    <w:p>
      <w:pPr>
        <w:pBdr>
          <w:bottom w:val="single" w:color="D0D5DD" w:sz="2" w:space="1"/>
        </w:pBdr>
        <w:spacing w:after="200" w:before="200"/>
      </w:pPr>
    </w:p>
    <w:p>
      <w:pPr>
        <w:pStyle w:val="Heading1"/>
      </w:pPr>
      <w:r>
        <w:t xml:space="preserve">12. What We’re Not Building Yet</w:t>
      </w:r>
    </w:p>
    <w:p>
      <w:pPr>
        <w:spacing w:after="160"/>
      </w:pPr>
      <w:r>
        <w:rPr>
          <w:rFonts w:ascii="Arial" w:cs="Arial" w:eastAsia="Arial" w:hAnsi="Arial"/>
          <w:color w:val="1C2024"/>
          <w:sz w:val="22"/>
          <w:szCs w:val="22"/>
        </w:rPr>
        <w:t xml:space="preserve">These are features mentioned in planning that are explicitly deferred. They’re noted here so they don’t get lost but don’t distract from the current buildout.</w:t>
      </w:r>
    </w:p>
    <w:p>
      <w:pPr>
        <w:pStyle w:val="ListParagraph"/>
        <w:numPr>
          <w:ilvl w:val="0"/>
          <w:numId w:val="2"/>
        </w:numPr>
        <w:spacing w:after="100"/>
      </w:pPr>
      <w:r>
        <w:rPr>
          <w:rFonts w:ascii="Arial" w:cs="Arial" w:eastAsia="Arial" w:hAnsi="Arial"/>
          <w:b/>
          <w:bCs/>
          <w:color w:val="1C2024"/>
          <w:sz w:val="22"/>
          <w:szCs w:val="22"/>
        </w:rPr>
        <w:t xml:space="preserve">Automated email sequences</w:t>
      </w:r>
      <w:r>
        <w:rPr>
          <w:rFonts w:ascii="Arial" w:cs="Arial" w:eastAsia="Arial" w:hAnsi="Arial"/>
          <w:color w:val="1C2024"/>
          <w:sz w:val="22"/>
          <w:szCs w:val="22"/>
        </w:rPr>
        <w:t xml:space="preserve"> — follow-up automation is a future phase. For now, activity logging and decay tracking handle the “don’t forget to follow up” problem manually.</w:t>
      </w:r>
    </w:p>
    <w:p>
      <w:pPr>
        <w:pStyle w:val="ListParagraph"/>
        <w:numPr>
          <w:ilvl w:val="0"/>
          <w:numId w:val="2"/>
        </w:numPr>
        <w:spacing w:after="100"/>
      </w:pPr>
      <w:r>
        <w:rPr>
          <w:rFonts w:ascii="Arial" w:cs="Arial" w:eastAsia="Arial" w:hAnsi="Arial"/>
          <w:b/>
          <w:bCs/>
          <w:color w:val="1C2024"/>
          <w:sz w:val="22"/>
          <w:szCs w:val="22"/>
        </w:rPr>
        <w:t xml:space="preserve">Revisit scheduling automation</w:t>
      </w:r>
      <w:r>
        <w:rPr>
          <w:rFonts w:ascii="Arial" w:cs="Arial" w:eastAsia="Arial" w:hAnsi="Arial"/>
          <w:color w:val="1C2024"/>
          <w:sz w:val="22"/>
          <w:szCs w:val="22"/>
        </w:rPr>
        <w:t xml:space="preserve"> — when a contact says “no,” the decay system handles staleness. A more structured revisit scheduler (auto-resurface contacts after 3/6/12 months) is a future enhancement.</w:t>
      </w:r>
    </w:p>
    <w:p>
      <w:pPr>
        <w:pStyle w:val="ListParagraph"/>
        <w:numPr>
          <w:ilvl w:val="0"/>
          <w:numId w:val="2"/>
        </w:numPr>
        <w:spacing w:after="100"/>
      </w:pPr>
      <w:r>
        <w:rPr>
          <w:rFonts w:ascii="Arial" w:cs="Arial" w:eastAsia="Arial" w:hAnsi="Arial"/>
          <w:b/>
          <w:bCs/>
          <w:color w:val="1C2024"/>
          <w:sz w:val="22"/>
          <w:szCs w:val="22"/>
        </w:rPr>
        <w:t xml:space="preserve">Full HubSpot replacement</w:t>
      </w:r>
      <w:r>
        <w:rPr>
          <w:rFonts w:ascii="Arial" w:cs="Arial" w:eastAsia="Arial" w:hAnsi="Arial"/>
          <w:color w:val="1C2024"/>
          <w:sz w:val="22"/>
          <w:szCs w:val="22"/>
        </w:rPr>
        <w:t xml:space="preserve"> — email tracking via BCC, auto-contact creation from email, and sequence automation are HubSpot features that would require significant infrastructure to self-host. Not in scope.</w:t>
      </w:r>
    </w:p>
    <w:p>
      <w:pPr>
        <w:pStyle w:val="ListParagraph"/>
        <w:numPr>
          <w:ilvl w:val="0"/>
          <w:numId w:val="2"/>
        </w:numPr>
        <w:spacing w:after="100"/>
      </w:pPr>
      <w:r>
        <w:rPr>
          <w:rFonts w:ascii="Arial" w:cs="Arial" w:eastAsia="Arial" w:hAnsi="Arial"/>
          <w:b/>
          <w:bCs/>
          <w:color w:val="1C2024"/>
          <w:sz w:val="22"/>
          <w:szCs w:val="22"/>
        </w:rPr>
        <w:t xml:space="preserve">GW property code auto-mapping to subcategories</w:t>
      </w:r>
      <w:r>
        <w:rPr>
          <w:rFonts w:ascii="Arial" w:cs="Arial" w:eastAsia="Arial" w:hAnsi="Arial"/>
          <w:color w:val="1C2024"/>
          <w:sz w:val="22"/>
          <w:szCs w:val="22"/>
        </w:rPr>
        <w:t xml:space="preserve"> — deferred to avoid misclassification. Subcategories remain manual.</w:t>
      </w:r>
    </w:p>
    <w:p>
      <w:pPr>
        <w:pStyle w:val="ListParagraph"/>
        <w:numPr>
          <w:ilvl w:val="0"/>
          <w:numId w:val="2"/>
        </w:numPr>
        <w:spacing w:after="100"/>
      </w:pPr>
      <w:r>
        <w:rPr>
          <w:rFonts w:ascii="Arial" w:cs="Arial" w:eastAsia="Arial" w:hAnsi="Arial"/>
          <w:b/>
          <w:bCs/>
          <w:color w:val="1C2024"/>
          <w:sz w:val="22"/>
          <w:szCs w:val="22"/>
        </w:rPr>
        <w:t xml:space="preserve">Mobile app</w:t>
      </w:r>
      <w:r>
        <w:rPr>
          <w:rFonts w:ascii="Arial" w:cs="Arial" w:eastAsia="Arial" w:hAnsi="Arial"/>
          <w:color w:val="1C2024"/>
          <w:sz w:val="22"/>
          <w:szCs w:val="22"/>
        </w:rPr>
        <w:t xml:space="preserve"> — the web app is responsive but a dedicated mobile experience is not in scope.</w:t>
      </w:r>
    </w:p>
    <w:p>
      <w:pPr>
        <w:pBdr>
          <w:bottom w:val="single" w:color="D0D5DD" w:sz="2" w:space="1"/>
        </w:pBdr>
        <w:spacing w:after="200" w:before="200"/>
      </w:pPr>
    </w:p>
    <w:p>
      <w:pPr>
        <w:pStyle w:val="Heading1"/>
      </w:pPr>
      <w:r>
        <w:t xml:space="preserve">13. Summary</w:t>
      </w:r>
    </w:p>
    <w:p>
      <w:pPr>
        <w:spacing w:after="160"/>
      </w:pPr>
      <w:r>
        <w:rPr>
          <w:rFonts w:ascii="Arial" w:cs="Arial" w:eastAsia="Arial" w:hAnsi="Arial"/>
          <w:color w:val="1C2024"/>
          <w:sz w:val="22"/>
          <w:szCs w:val="22"/>
        </w:rPr>
        <w:t xml:space="preserve">This plan transforms Cleo Turbo from a data platform into a prospecting and matchmaking engine. The build order is deliberate: taxonomy first (so everything classifies correctly), then filtering (so you can find the right people), then visual context (so you can assess them quickly), then opportunities and mandates (so you can track what you find), then matchmaking (so the system connects buyers to sellers), and finally HubSpot sync (so your existing workflow stays intact during the transition).</w:t>
      </w:r>
    </w:p>
    <w:p>
      <w:pPr>
        <w:spacing w:after="160"/>
      </w:pPr>
      <w:r>
        <w:rPr>
          <w:rFonts w:ascii="Arial" w:cs="Arial" w:eastAsia="Arial" w:hAnsi="Arial"/>
          <w:color w:val="1C2024"/>
          <w:sz w:val="22"/>
          <w:szCs w:val="22"/>
        </w:rPr>
        <w:t xml:space="preserve">Every phase ships working software. Nothing depends on a future phase to be useful. And the architecture is designed so that when HubSpot is eventually retired, Cleo stands on its own.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646C"/>
        <w:sz w:val="18"/>
        <w:szCs w:val="18"/>
      </w:rPr>
      <w:t xml:space="preserve">Page </w:t>
    </w:r>
    <w:r>
      <w:rPr>
        <w:rFonts w:ascii="Arial" w:cs="Arial" w:eastAsia="Arial" w:hAnsi="Arial"/>
        <w:color w:val="6064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0646C"/>
        <w:sz w:val="18"/>
        <w:szCs w:val="18"/>
      </w:rPr>
      <w:t xml:space="preserve">Cleo Turbo Buildout Plan</w:t>
    </w:r>
    <w:r>
      <w:rPr>
        <w:rFonts w:ascii="Arial" w:cs="Arial" w:eastAsia="Arial" w:hAnsi="Arial"/>
        <w:color w:val="60646C"/>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0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C202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7C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C20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2026-04-08T03:20:09.119Z</dcterms:created>
  <dcterms:modified xsi:type="dcterms:W3CDTF">2026-04-08T03:20:09.120Z</dcterms:modified>
</cp:coreProperties>
</file>

<file path=docProps/custom.xml><?xml version="1.0" encoding="utf-8"?>
<Properties xmlns="http://schemas.openxmlformats.org/officeDocument/2006/custom-properties" xmlns:vt="http://schemas.openxmlformats.org/officeDocument/2006/docPropsVTypes"/>
</file>