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B4332"/>
          <w:sz w:val="44"/>
          <w:szCs w:val="44"/>
        </w:rPr>
        <w:t xml:space="preserve">Ontario Municipal GIS &amp; Zoning Map</w:t>
      </w:r>
    </w:p>
    <w:p>
      <w:pPr>
        <w:spacing w:after="80"/>
        <w:jc w:val="center"/>
      </w:pPr>
      <w:r>
        <w:rPr>
          <w:rFonts w:ascii="Arial" w:cs="Arial" w:eastAsia="Arial" w:hAnsi="Arial"/>
          <w:b/>
          <w:bCs/>
          <w:color w:val="2D6A4F"/>
          <w:sz w:val="36"/>
          <w:szCs w:val="36"/>
        </w:rPr>
        <w:t xml:space="preserve">API Accessibility Discovery</w:t>
      </w:r>
    </w:p>
    <w:p>
      <w:pPr>
        <w:spacing w:after="400"/>
        <w:jc w:val="center"/>
      </w:pPr>
      <w:r>
        <w:rPr>
          <w:rFonts w:ascii="Arial" w:cs="Arial" w:eastAsia="Arial" w:hAnsi="Arial"/>
          <w:color w:val="777777"/>
          <w:sz w:val="22"/>
          <w:szCs w:val="22"/>
        </w:rPr>
        <w:t xml:space="preserve">April 2026 — Research Only</w:t>
      </w:r>
    </w:p>
    <w:p>
      <w:pPr>
        <w:pStyle w:val="Heading1"/>
      </w:pPr>
      <w:r>
        <w:t xml:space="preserve">Executive Summary</w:t>
      </w:r>
    </w:p>
    <w:p>
      <w:pPr>
        <w:spacing w:after="200"/>
      </w:pPr>
      <w:r>
        <w:t xml:space="preserve">Ontario has </w:t>
      </w:r>
      <w:r>
        <w:rPr>
          <w:b/>
          <w:bCs/>
        </w:rPr>
        <w:t xml:space="preserve">444 municipalities</w:t>
      </w:r>
      <w:r>
        <w:t xml:space="preserve"> (per AMO). Of these, at least </w:t>
      </w:r>
      <w:r>
        <w:rPr>
          <w:b/>
          <w:bCs/>
        </w:rPr>
        <w:t xml:space="preserve">80+ have public GIS data portals</w:t>
      </w:r>
      <w:r>
        <w:t xml:space="preserve">, and the research below confirms that </w:t>
      </w:r>
      <w:r>
        <w:rPr>
          <w:b/>
          <w:bCs/>
        </w:rPr>
        <w:t xml:space="preserve">36 major municipalities and counties</w:t>
      </w:r>
      <w:r>
        <w:t xml:space="preserve"> have ArcGIS-based mapping portals with parcel data and some form of API access. Virtually all of them run on </w:t>
      </w:r>
      <w:r>
        <w:rPr>
          <w:b/>
          <w:bCs/>
        </w:rPr>
        <w:t xml:space="preserve">Esri ArcGIS</w:t>
      </w:r>
      <w:r>
        <w:t xml:space="preserve"> (ArcGIS Online, ArcGIS Hub, or ArcGIS Enterprise), often with a Geocortex viewer on top. This means a single integration pattern (ArcGIS REST API) could cover the vast majority of Ontario.</w:t>
      </w:r>
    </w:p>
    <w:p>
      <w:pPr>
        <w:pStyle w:val="Heading2"/>
      </w:pPr>
      <w:r>
        <w:t xml:space="preserve">Key Numbers</w:t>
      </w:r>
    </w:p>
    <w:p>
      <w:pPr>
        <w:pStyle w:val="ListParagraph"/>
        <w:numPr>
          <w:ilvl w:val="0"/>
          <w:numId w:val="2"/>
        </w:numPr>
      </w:pPr>
      <w:r>
        <w:rPr>
          <w:b/>
          <w:bCs/>
        </w:rPr>
        <w:t xml:space="preserve">444</w:t>
      </w:r>
      <w:r>
        <w:t xml:space="preserve"> total Ontario municipalities (single-tier, upper-tier, lower-tier)</w:t>
      </w:r>
    </w:p>
    <w:p>
      <w:pPr>
        <w:pStyle w:val="ListParagraph"/>
        <w:numPr>
          <w:ilvl w:val="0"/>
          <w:numId w:val="2"/>
        </w:numPr>
      </w:pPr>
      <w:r>
        <w:rPr>
          <w:b/>
          <w:bCs/>
        </w:rPr>
        <w:t xml:space="preserve">80+</w:t>
      </w:r>
      <w:r>
        <w:t xml:space="preserve"> have public GIS/open data portals (per Ontario GeoHub and CanadianGIS.com)</w:t>
      </w:r>
    </w:p>
    <w:p>
      <w:pPr>
        <w:pStyle w:val="ListParagraph"/>
        <w:numPr>
          <w:ilvl w:val="0"/>
          <w:numId w:val="2"/>
        </w:numPr>
      </w:pPr>
      <w:r>
        <w:rPr>
          <w:b/>
          <w:bCs/>
        </w:rPr>
        <w:t xml:space="preserve">36</w:t>
      </w:r>
      <w:r>
        <w:t xml:space="preserve"> confirmed in this research with parcel data + API access</w:t>
      </w:r>
    </w:p>
    <w:p>
      <w:pPr>
        <w:pStyle w:val="ListParagraph"/>
        <w:numPr>
          <w:ilvl w:val="0"/>
          <w:numId w:val="2"/>
        </w:numPr>
      </w:pPr>
      <w:r>
        <w:rPr>
          <w:b/>
          <w:bCs/>
        </w:rPr>
        <w:t xml:space="preserve">~95%</w:t>
      </w:r>
      <w:r>
        <w:t xml:space="preserve"> use Esri ArcGIS as their GIS platform</w:t>
      </w:r>
    </w:p>
    <w:p>
      <w:pPr>
        <w:pStyle w:val="ListParagraph"/>
        <w:numPr>
          <w:ilvl w:val="0"/>
          <w:numId w:val="2"/>
        </w:numPr>
        <w:spacing w:after="200"/>
      </w:pPr>
      <w:r>
        <w:rPr>
          <w:b/>
          <w:bCs/>
        </w:rPr>
        <w:t xml:space="preserve">100%</w:t>
      </w:r>
      <w:r>
        <w:t xml:space="preserve"> of the 36 researched have parcel boundary data; zoning confirmed in 26 of 36</w:t>
      </w:r>
    </w:p>
    <w:p>
      <w:pPr>
        <w:pStyle w:val="Heading1"/>
      </w:pPr>
      <w:r>
        <w:t xml:space="preserve">What This Means for Cleo</w:t>
      </w:r>
    </w:p>
    <w:p>
      <w:pPr>
        <w:spacing w:after="120"/>
      </w:pPr>
      <w:r>
        <w:t xml:space="preserve">The core problem we’re solving: the Ontario Geocoder returns a </w:t>
      </w:r>
      <w:r>
        <w:rPr>
          <w:b/>
          <w:bCs/>
        </w:rPr>
        <w:t xml:space="preserve">StreetAddress</w:t>
      </w:r>
      <w:r>
        <w:t xml:space="preserve"> point on the road centerline, which sometimes lands on the wrong parcel (e.g., the small lot across the street instead of the 22-acre multifamily site). If we had direct access to </w:t>
      </w:r>
      <w:r>
        <w:rPr>
          <w:b/>
          <w:bCs/>
        </w:rPr>
        <w:t xml:space="preserve">municipal parcel geometry with zoning attributes</w:t>
      </w:r>
      <w:r>
        <w:t xml:space="preserve">, we could:</w:t>
      </w:r>
    </w:p>
    <w:p>
      <w:pPr>
        <w:pStyle w:val="ListParagraph"/>
        <w:numPr>
          <w:ilvl w:val="0"/>
          <w:numId w:val="3"/>
        </w:numPr>
      </w:pPr>
      <w:r>
        <w:rPr>
          <w:b/>
          <w:bCs/>
        </w:rPr>
        <w:t xml:space="preserve">Cross-validate</w:t>
      </w:r>
      <w:r>
        <w:t xml:space="preserve"> geocoded parcels against zoning and acreage (a $100M multifamily site shouldn’t be on a 40m² residential lot)</w:t>
      </w:r>
    </w:p>
    <w:p>
      <w:pPr>
        <w:pStyle w:val="ListParagraph"/>
        <w:numPr>
          <w:ilvl w:val="0"/>
          <w:numId w:val="3"/>
        </w:numPr>
      </w:pPr>
      <w:r>
        <w:rPr>
          <w:b/>
          <w:bCs/>
        </w:rPr>
        <w:t xml:space="preserve">Direct parcel lookup</w:t>
      </w:r>
      <w:r>
        <w:t xml:space="preserve"> by address via municipal FeatureServer queries, bypassing the provincial geocoder entirely for municipalities that expose this</w:t>
      </w:r>
    </w:p>
    <w:p>
      <w:pPr>
        <w:pStyle w:val="ListParagraph"/>
        <w:numPr>
          <w:ilvl w:val="0"/>
          <w:numId w:val="3"/>
        </w:numPr>
        <w:spacing w:after="200"/>
      </w:pPr>
      <w:r>
        <w:rPr>
          <w:b/>
          <w:bCs/>
        </w:rPr>
        <w:t xml:space="preserve">Enrich property data</w:t>
      </w:r>
      <w:r>
        <w:t xml:space="preserve"> with zoning designation, land use, and other attributes not available from RT or GW</w:t>
      </w:r>
    </w:p>
    <w:p>
      <w:pPr>
        <w:pStyle w:val="Heading1"/>
      </w:pPr>
      <w:r>
        <w:t xml:space="preserve">Provincial-Level Data Sources</w:t>
      </w:r>
    </w:p>
    <w:p>
      <w:pPr>
        <w:pStyle w:val="Heading2"/>
      </w:pPr>
      <w:r>
        <w:t xml:space="preserve">Ontario Parcel Dataset</w:t>
      </w:r>
    </w:p>
    <w:p>
      <w:pPr>
        <w:spacing w:after="120"/>
      </w:pPr>
      <w:r>
        <w:t xml:space="preserve">Covers ~7.5 million parcels province-wide. Available through the Ontario GeoHub (geohub.lio.gov.on.ca) and distributed commercially by Teranet. </w:t>
      </w:r>
      <w:r>
        <w:rPr>
          <w:b/>
          <w:bCs/>
          <w:color w:val="CC0000"/>
        </w:rPr>
        <w:t xml:space="preserve">Commercially licensed</w:t>
      </w:r>
      <w:r>
        <w:t xml:space="preserve"> — not freely available. Subject to the Ontario Parcel Licence Agreement (OPLA). This is the same parcel data that powers GeoWarehouse.</w:t>
      </w:r>
    </w:p>
    <w:p>
      <w:pPr>
        <w:pStyle w:val="Heading2"/>
      </w:pPr>
      <w:r>
        <w:t xml:space="preserve">AgMaps (Ministry of Agriculture)</w:t>
      </w:r>
    </w:p>
    <w:p>
      <w:pPr>
        <w:spacing w:after="120"/>
      </w:pPr>
      <w:r>
        <w:t xml:space="preserve">REST API endpoint: </w:t>
      </w:r>
      <w:r>
        <w:rPr>
          <w:color w:val="2D6A4F"/>
          <w:sz w:val="18"/>
          <w:szCs w:val="18"/>
        </w:rPr>
        <w:t xml:space="preserve">ws.lioservices.lrc.gov.on.ca/arcgis4/rest/services/AIA/Assessment_Parcel_Map/MapServer</w:t>
      </w:r>
      <w:r>
        <w:t xml:space="preserve">
This is the service Cleo already uses via the AgMaps proxy. It’s </w:t>
      </w:r>
      <w:r>
        <w:rPr>
          <w:b/>
          <w:bCs/>
        </w:rPr>
        <w:t xml:space="preserve">publicly queryable</w:t>
      </w:r>
      <w:r>
        <w:t xml:space="preserve"> for individual parcel lookups by ARN and spatial point queries. However, it’s not designed for bulk extraction — it’s query-per-parcel.</w:t>
      </w:r>
    </w:p>
    <w:p>
      <w:pPr>
        <w:pStyle w:val="Heading2"/>
      </w:pPr>
      <w:r>
        <w:t xml:space="preserve">MPAC (Municipal Property Assessment Corporation)</w:t>
      </w:r>
    </w:p>
    <w:p>
      <w:pPr>
        <w:spacing w:after="120"/>
      </w:pPr>
      <w:r>
        <w:t xml:space="preserve">Assesses all 5.6 million Ontario properties. </w:t>
      </w:r>
      <w:r>
        <w:rPr>
          <w:b/>
          <w:bCs/>
          <w:color w:val="CC0000"/>
        </w:rPr>
        <w:t xml:space="preserve">No public API. No open data.</w:t>
      </w:r>
      <w:r>
        <w:t xml:space="preserve"> MPAC explicitly states their data will not be made available through Ontario’s public data portal. Commercial bulk extracts available by contacting MPAC directly.</w:t>
      </w:r>
    </w:p>
    <w:p>
      <w:pPr>
        <w:pStyle w:val="Heading2"/>
      </w:pPr>
      <w:r>
        <w:t xml:space="preserve">LIO REST Services</w:t>
      </w:r>
    </w:p>
    <w:p>
      <w:pPr>
        <w:spacing w:after="120"/>
      </w:pPr>
      <w:r>
        <w:t xml:space="preserve">Base URL: </w:t>
      </w:r>
      <w:r>
        <w:rPr>
          <w:color w:val="2D6A4F"/>
          <w:sz w:val="18"/>
          <w:szCs w:val="18"/>
        </w:rPr>
        <w:t xml:space="preserve">ws.lioservices.lrc.gov.on.ca/arcgis[version]/rest/services/</w:t>
      </w:r>
      <w:r>
        <w:t xml:space="preserve">
Some open data layers available (LIO_OPEN_DATA). Parcel-specific layers are restricted/licensed. Max 5,000 records per query.</w:t>
      </w:r>
    </w:p>
    <w:p>
      <w:pPr>
        <w:pStyle w:val="Heading2"/>
      </w:pPr>
      <w:r>
        <w:t xml:space="preserve">Teranet / OnLand</w:t>
      </w:r>
    </w:p>
    <w:p>
      <w:pPr>
        <w:spacing w:after="200"/>
      </w:pPr>
      <w:r>
        <w:t xml:space="preserve">Ontario Land Registry (POLARIS). OnLand provides web-based individual lookups. Teraview is for licensed professionals. </w:t>
      </w:r>
      <w:r>
        <w:rPr>
          <w:b/>
          <w:bCs/>
        </w:rPr>
        <w:t xml:space="preserve">No bulk API for public use.</w:t>
      </w:r>
      <w:r>
        <w:t xml:space="preserve"> Commercial API available through Teranet’s geospatial solutions division (requires licensing agreement).</w:t>
      </w:r>
    </w:p>
    <w:p>
      <w:r>
        <w:br w:type="page"/>
      </w:r>
    </w:p>
    <w:p>
      <w:pPr>
        <w:pStyle w:val="Heading1"/>
      </w:pPr>
      <w:r>
        <w:t xml:space="preserve">Major Municipalities (16 Confirmed)</w:t>
      </w:r>
    </w:p>
    <w:p>
      <w:pPr>
        <w:spacing w:after="200"/>
      </w:pPr>
      <w:r>
        <w:t xml:space="preserve">These are Ontario’s largest cities and regional municipalities. All have public GIS portals, all use ArcGIS, and all expose parcel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100"/>
        <w:gridCol w:w="1100"/>
        <w:gridCol w:w="1100"/>
        <w:gridCol w:w="2560"/>
      </w:tblGrid>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vAlign w:val="center"/>
          </w:tcPr>
          <w:p>
            <w:r>
              <w:rPr>
                <w:rFonts w:ascii="Arial" w:cs="Arial" w:eastAsia="Arial" w:hAnsi="Arial"/>
                <w:b/>
                <w:bCs/>
                <w:color w:val="FFFFFF"/>
                <w:sz w:val="18"/>
                <w:szCs w:val="18"/>
              </w:rPr>
              <w:t xml:space="preserve">Municipality</w:t>
            </w:r>
          </w:p>
        </w:tc>
        <w:tc>
          <w:tcPr>
            <w:tcW w:type="dxa" w:w="13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vAlign w:val="center"/>
          </w:tcPr>
          <w:p>
            <w:r>
              <w:rPr>
                <w:rFonts w:ascii="Arial" w:cs="Arial" w:eastAsia="Arial" w:hAnsi="Arial"/>
                <w:b/>
                <w:bCs/>
                <w:color w:val="FFFFFF"/>
                <w:sz w:val="18"/>
                <w:szCs w:val="18"/>
              </w:rPr>
              <w:t xml:space="preserve">Platform</w:t>
            </w:r>
          </w:p>
        </w:tc>
        <w:tc>
          <w:tcPr>
            <w:tcW w:type="dxa" w:w="11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vAlign w:val="center"/>
          </w:tcPr>
          <w:p>
            <w:r>
              <w:rPr>
                <w:rFonts w:ascii="Arial" w:cs="Arial" w:eastAsia="Arial" w:hAnsi="Arial"/>
                <w:b/>
                <w:bCs/>
                <w:color w:val="FFFFFF"/>
                <w:sz w:val="18"/>
                <w:szCs w:val="18"/>
              </w:rPr>
              <w:t xml:space="preserve">Parcels</w:t>
            </w:r>
          </w:p>
        </w:tc>
        <w:tc>
          <w:tcPr>
            <w:tcW w:type="dxa" w:w="11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vAlign w:val="center"/>
          </w:tcPr>
          <w:p>
            <w:r>
              <w:rPr>
                <w:rFonts w:ascii="Arial" w:cs="Arial" w:eastAsia="Arial" w:hAnsi="Arial"/>
                <w:b/>
                <w:bCs/>
                <w:color w:val="FFFFFF"/>
                <w:sz w:val="18"/>
                <w:szCs w:val="18"/>
              </w:rPr>
              <w:t xml:space="preserve">Zoning</w:t>
            </w:r>
          </w:p>
        </w:tc>
        <w:tc>
          <w:tcPr>
            <w:tcW w:type="dxa" w:w="11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vAlign w:val="center"/>
          </w:tcPr>
          <w:p>
            <w:r>
              <w:rPr>
                <w:rFonts w:ascii="Arial" w:cs="Arial" w:eastAsia="Arial" w:hAnsi="Arial"/>
                <w:b/>
                <w:bCs/>
                <w:color w:val="FFFFFF"/>
                <w:sz w:val="18"/>
                <w:szCs w:val="18"/>
              </w:rPr>
              <w:t xml:space="preserve">API</w:t>
            </w:r>
          </w:p>
        </w:tc>
        <w:tc>
          <w:tcPr>
            <w:tcW w:type="dxa" w:w="256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vAlign w:val="center"/>
          </w:tcPr>
          <w:p>
            <w:r>
              <w:rPr>
                <w:rFonts w:ascii="Arial" w:cs="Arial" w:eastAsia="Arial" w:hAnsi="Arial"/>
                <w:b/>
                <w:bCs/>
                <w:color w:val="FFFFFF"/>
                <w:sz w:val="18"/>
                <w:szCs w:val="18"/>
              </w:rPr>
              <w:t xml:space="preserve">Portal / Endpoint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17"/>
                <w:szCs w:val="17"/>
              </w:rPr>
              <w:t xml:space="preserve">City of Toronto</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7"/>
                <w:szCs w:val="17"/>
              </w:rPr>
              <w:t xml:space="preserve">ArcGIS Enterprise</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6"/>
                <w:szCs w:val="16"/>
              </w:rPr>
              <w:t xml:space="preserve">gis.toronto.ca/arcgis/rest/services/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7"/>
                <w:szCs w:val="17"/>
              </w:rPr>
              <w:t xml:space="preserve">City of Ottawa</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ArcGIS Enterprise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6"/>
                <w:szCs w:val="16"/>
              </w:rPr>
              <w:t xml:space="preserve">maps.ottawa.ca/ArcGIS/rest/services/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17"/>
                <w:szCs w:val="17"/>
              </w:rPr>
              <w:t xml:space="preserve">City of Hamilton</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7"/>
                <w:szCs w:val="17"/>
              </w:rPr>
              <w:t xml:space="preserve">ArcGIS Hub</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B07D10"/>
                <w:sz w:val="17"/>
                <w:szCs w:val="17"/>
              </w:rPr>
              <w:t xml:space="preserve">Partial</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6"/>
                <w:szCs w:val="16"/>
              </w:rPr>
              <w:t xml:space="preserve">open.hamilton.ca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7"/>
                <w:szCs w:val="17"/>
              </w:rPr>
              <w:t xml:space="preserve">City of London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ArcGIS Online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6"/>
                <w:szCs w:val="16"/>
              </w:rPr>
              <w:t xml:space="preserve">maps.london.ca/arcgisb/rest/services/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17"/>
                <w:szCs w:val="17"/>
              </w:rPr>
              <w:t xml:space="preserve">Region of Peel</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7"/>
                <w:szCs w:val="17"/>
              </w:rPr>
              <w:t xml:space="preserve">ArcGIS Hub</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B07D10"/>
                <w:sz w:val="17"/>
                <w:szCs w:val="17"/>
              </w:rPr>
              <w:t xml:space="preserve">Partial</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6"/>
                <w:szCs w:val="16"/>
              </w:rPr>
              <w:t xml:space="preserve">data-regionofpeel.hub.arcgis.com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7"/>
                <w:szCs w:val="17"/>
              </w:rPr>
              <w:t xml:space="preserve">Region of Halton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ArcGIS/Geocortex</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B07D10"/>
                <w:sz w:val="17"/>
                <w:szCs w:val="17"/>
              </w:rPr>
              <w:t xml:space="preserve">Partial</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6"/>
                <w:szCs w:val="16"/>
              </w:rPr>
              <w:t xml:space="preserve">haltonhills.ca MapLinks</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17"/>
                <w:szCs w:val="17"/>
              </w:rPr>
              <w:t xml:space="preserve">Region of Durham</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7"/>
                <w:szCs w:val="17"/>
              </w:rPr>
              <w:t xml:space="preserve">ArcGIS Online</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6"/>
                <w:szCs w:val="16"/>
              </w:rPr>
              <w:t xml:space="preserve">maps.durham.ca/arcgis/rest/services/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7"/>
                <w:szCs w:val="17"/>
              </w:rPr>
              <w:t xml:space="preserve">Region of York</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ArcGIS Hub</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B07D10"/>
                <w:sz w:val="17"/>
                <w:szCs w:val="17"/>
              </w:rPr>
              <w:t xml:space="preserve">Partial</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6"/>
                <w:szCs w:val="16"/>
              </w:rPr>
              <w:t xml:space="preserve">insights-york.opendata.arcgis.com</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17"/>
                <w:szCs w:val="17"/>
              </w:rPr>
              <w:t xml:space="preserve">Region of Waterloo</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7"/>
                <w:szCs w:val="17"/>
              </w:rPr>
              <w:t xml:space="preserve">ArcGIS Hub</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B07D10"/>
                <w:sz w:val="17"/>
                <w:szCs w:val="17"/>
              </w:rPr>
              <w:t xml:space="preserve">Partial</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6"/>
                <w:szCs w:val="16"/>
              </w:rPr>
              <w:t xml:space="preserve">region-of-waterloo-geohub-rmw.hub.arcgis.com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7"/>
                <w:szCs w:val="17"/>
              </w:rPr>
              <w:t xml:space="preserve">City of Kitchener</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ArcGIS Hub</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B07D10"/>
                <w:sz w:val="17"/>
                <w:szCs w:val="17"/>
              </w:rPr>
              <w:t xml:space="preserve">Partial</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6"/>
                <w:szCs w:val="16"/>
              </w:rPr>
              <w:t xml:space="preserve">open-kitchenergis.opendata.arcgis.com</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17"/>
                <w:szCs w:val="17"/>
              </w:rPr>
              <w:t xml:space="preserve">City of Windsor</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7"/>
                <w:szCs w:val="17"/>
              </w:rPr>
              <w:t xml:space="preserve">ArcGIS Hub</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B07D10"/>
                <w:sz w:val="17"/>
                <w:szCs w:val="17"/>
              </w:rPr>
              <w:t xml:space="preserve">Partial</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6"/>
                <w:szCs w:val="16"/>
              </w:rPr>
              <w:t xml:space="preserve">mapp-my-city-citywindsor.hub.arcgis.com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7"/>
                <w:szCs w:val="17"/>
              </w:rPr>
              <w:t xml:space="preserve">City of Kingston</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ArcGIS Hub</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B07D10"/>
                <w:sz w:val="17"/>
                <w:szCs w:val="17"/>
              </w:rPr>
              <w:t xml:space="preserve">Partial</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6"/>
                <w:szCs w:val="16"/>
              </w:rPr>
              <w:t xml:space="preserve">maps-cityofkingston.hub.arcgis.com</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17"/>
                <w:szCs w:val="17"/>
              </w:rPr>
              <w:t xml:space="preserve">City of Barrie</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7"/>
                <w:szCs w:val="17"/>
              </w:rPr>
              <w:t xml:space="preserve">ArcGIS Hub</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6"/>
                <w:szCs w:val="16"/>
              </w:rPr>
              <w:t xml:space="preserve">public-barrie.opendata.arcgis.com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7"/>
                <w:szCs w:val="17"/>
              </w:rPr>
              <w:t xml:space="preserve">City of Guelph</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ArcGIS Hub</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B07D10"/>
                <w:sz w:val="17"/>
                <w:szCs w:val="17"/>
              </w:rPr>
              <w:t xml:space="preserve">Partial</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6"/>
                <w:szCs w:val="16"/>
              </w:rPr>
              <w:t xml:space="preserve">geodatahub-cityofguelph.opendata.arcgis.com</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17"/>
                <w:szCs w:val="17"/>
              </w:rPr>
              <w:t xml:space="preserve">Niagara Region</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7"/>
                <w:szCs w:val="17"/>
              </w:rPr>
              <w:t xml:space="preserve">ArcGIS Hub</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B07D10"/>
                <w:sz w:val="17"/>
                <w:szCs w:val="17"/>
              </w:rPr>
              <w:t xml:space="preserve">Partial</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6"/>
                <w:szCs w:val="16"/>
              </w:rPr>
              <w:t xml:space="preserve">open.niagararegion.ca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7"/>
                <w:szCs w:val="17"/>
              </w:rPr>
              <w:t xml:space="preserve">City of Thunder Bay</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ArcGIS Online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B07D10"/>
                <w:sz w:val="17"/>
                <w:szCs w:val="17"/>
              </w:rPr>
              <w:t xml:space="preserve">Partial</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6"/>
                <w:szCs w:val="16"/>
              </w:rPr>
              <w:t xml:space="preserve">opendata.thunderbay.ca</w:t>
            </w:r>
          </w:p>
        </w:tc>
      </w:tr>
    </w:tbl>
    <w:p>
      <w:r>
        <w:br w:type="page"/>
      </w:r>
    </w:p>
    <w:p>
      <w:pPr>
        <w:pStyle w:val="Heading1"/>
      </w:pPr>
      <w:r>
        <w:t xml:space="preserve">Counties &amp; Smaller Municipalities (20 Confirmed)</w:t>
      </w:r>
    </w:p>
    <w:p>
      <w:pPr>
        <w:spacing w:after="200"/>
      </w:pPr>
      <w:r>
        <w:t xml:space="preserve">Every single county researched has a public GIS portal with parcel and zoning data. About half use Geocortex as a viewer layer on top of ArcGIS. All support REST API 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1100"/>
        <w:gridCol w:w="1100"/>
        <w:gridCol w:w="1100"/>
        <w:gridCol w:w="2560"/>
      </w:tblGrid>
      <w:tr>
        <w:tc>
          <w:tcPr>
            <w:tcW w:type="dxa" w:w="22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vAlign w:val="center"/>
          </w:tcPr>
          <w:p>
            <w:r>
              <w:rPr>
                <w:rFonts w:ascii="Arial" w:cs="Arial" w:eastAsia="Arial" w:hAnsi="Arial"/>
                <w:b/>
                <w:bCs/>
                <w:color w:val="FFFFFF"/>
                <w:sz w:val="18"/>
                <w:szCs w:val="18"/>
              </w:rPr>
              <w:t xml:space="preserve">Municipality</w:t>
            </w:r>
          </w:p>
        </w:tc>
        <w:tc>
          <w:tcPr>
            <w:tcW w:type="dxa" w:w="13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vAlign w:val="center"/>
          </w:tcPr>
          <w:p>
            <w:r>
              <w:rPr>
                <w:rFonts w:ascii="Arial" w:cs="Arial" w:eastAsia="Arial" w:hAnsi="Arial"/>
                <w:b/>
                <w:bCs/>
                <w:color w:val="FFFFFF"/>
                <w:sz w:val="18"/>
                <w:szCs w:val="18"/>
              </w:rPr>
              <w:t xml:space="preserve">Platform</w:t>
            </w:r>
          </w:p>
        </w:tc>
        <w:tc>
          <w:tcPr>
            <w:tcW w:type="dxa" w:w="11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vAlign w:val="center"/>
          </w:tcPr>
          <w:p>
            <w:r>
              <w:rPr>
                <w:rFonts w:ascii="Arial" w:cs="Arial" w:eastAsia="Arial" w:hAnsi="Arial"/>
                <w:b/>
                <w:bCs/>
                <w:color w:val="FFFFFF"/>
                <w:sz w:val="18"/>
                <w:szCs w:val="18"/>
              </w:rPr>
              <w:t xml:space="preserve">Parcels</w:t>
            </w:r>
          </w:p>
        </w:tc>
        <w:tc>
          <w:tcPr>
            <w:tcW w:type="dxa" w:w="11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vAlign w:val="center"/>
          </w:tcPr>
          <w:p>
            <w:r>
              <w:rPr>
                <w:rFonts w:ascii="Arial" w:cs="Arial" w:eastAsia="Arial" w:hAnsi="Arial"/>
                <w:b/>
                <w:bCs/>
                <w:color w:val="FFFFFF"/>
                <w:sz w:val="18"/>
                <w:szCs w:val="18"/>
              </w:rPr>
              <w:t xml:space="preserve">Zoning</w:t>
            </w:r>
          </w:p>
        </w:tc>
        <w:tc>
          <w:tcPr>
            <w:tcW w:type="dxa" w:w="110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vAlign w:val="center"/>
          </w:tcPr>
          <w:p>
            <w:r>
              <w:rPr>
                <w:rFonts w:ascii="Arial" w:cs="Arial" w:eastAsia="Arial" w:hAnsi="Arial"/>
                <w:b/>
                <w:bCs/>
                <w:color w:val="FFFFFF"/>
                <w:sz w:val="18"/>
                <w:szCs w:val="18"/>
              </w:rPr>
              <w:t xml:space="preserve">API</w:t>
            </w:r>
          </w:p>
        </w:tc>
        <w:tc>
          <w:tcPr>
            <w:tcW w:type="dxa" w:w="2560"/>
            <w:tcBorders>
              <w:top w:val="single" w:color="CCCCCC" w:sz="1"/>
              <w:left w:val="single" w:color="CCCCCC" w:sz="1"/>
              <w:bottom w:val="single" w:color="CCCCCC" w:sz="1"/>
              <w:right w:val="single" w:color="CCCCCC" w:sz="1"/>
            </w:tcBorders>
            <w:shd w:fill="1B4332" w:val="clear"/>
            <w:tcMar>
              <w:top w:type="dxa" w:w="60"/>
              <w:left w:type="dxa" w:w="100"/>
              <w:bottom w:type="dxa" w:w="60"/>
              <w:right w:type="dxa" w:w="100"/>
            </w:tcMar>
            <w:vAlign w:val="center"/>
          </w:tcPr>
          <w:p>
            <w:r>
              <w:rPr>
                <w:rFonts w:ascii="Arial" w:cs="Arial" w:eastAsia="Arial" w:hAnsi="Arial"/>
                <w:b/>
                <w:bCs/>
                <w:color w:val="FFFFFF"/>
                <w:sz w:val="18"/>
                <w:szCs w:val="18"/>
              </w:rPr>
              <w:t xml:space="preserve">Portal / Endpoint</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17"/>
                <w:szCs w:val="17"/>
              </w:rPr>
              <w:t xml:space="preserve">Simcoe County</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7"/>
                <w:szCs w:val="17"/>
              </w:rPr>
              <w:t xml:space="preserve">ArcGIS + GeoServer</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6"/>
                <w:szCs w:val="16"/>
              </w:rPr>
              <w:t xml:space="preserve">opengis.simcoe.ca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7"/>
                <w:szCs w:val="17"/>
              </w:rPr>
              <w:t xml:space="preserve">Dufferin County</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ArcGIS Online</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6"/>
                <w:szCs w:val="16"/>
              </w:rPr>
              <w:t xml:space="preserve">dufferincounty.maps.arcgis.com</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17"/>
                <w:szCs w:val="17"/>
              </w:rPr>
              <w:t xml:space="preserve">Wellington County</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7"/>
                <w:szCs w:val="17"/>
              </w:rPr>
              <w:t xml:space="preserve">ArcGIS/Geocortex</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6"/>
                <w:szCs w:val="16"/>
              </w:rPr>
              <w:t xml:space="preserve">wellington.ca/maps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7"/>
                <w:szCs w:val="17"/>
              </w:rPr>
              <w:t xml:space="preserve">Grey County</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ArcGIS/Geocortex</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6"/>
                <w:szCs w:val="16"/>
              </w:rPr>
              <w:t xml:space="preserve">maps.grey.ca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17"/>
                <w:szCs w:val="17"/>
              </w:rPr>
              <w:t xml:space="preserve">Bruce County</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7"/>
                <w:szCs w:val="17"/>
              </w:rPr>
              <w:t xml:space="preserve">ArcGIS Hub</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6"/>
                <w:szCs w:val="16"/>
              </w:rPr>
              <w:t xml:space="preserve">gis.brucecounty.on.ca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7"/>
                <w:szCs w:val="17"/>
              </w:rPr>
              <w:t xml:space="preserve">Hastings County</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ArcGIS Hub</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6"/>
                <w:szCs w:val="16"/>
              </w:rPr>
              <w:t xml:space="preserve">hastings-county-gis-hastings-gis.hub.arcgis.com</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17"/>
                <w:szCs w:val="17"/>
              </w:rPr>
              <w:t xml:space="preserve">Lennox &amp; Addington</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7"/>
                <w:szCs w:val="17"/>
              </w:rPr>
              <w:t xml:space="preserve">ArcGIS Hub</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6"/>
                <w:szCs w:val="16"/>
              </w:rPr>
              <w:t xml:space="preserve">l-a-mapping-services-lennoxaddington.hub.arcgis.com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7"/>
                <w:szCs w:val="17"/>
              </w:rPr>
              <w:t xml:space="preserve">Leeds and Grenville</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ArcGIS Hub</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6"/>
                <w:szCs w:val="16"/>
              </w:rPr>
              <w:t xml:space="preserve">geohub-uclg.hub.arcgis.com</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17"/>
                <w:szCs w:val="17"/>
              </w:rPr>
              <w:t xml:space="preserve">Chatham-Kent</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7"/>
                <w:szCs w:val="17"/>
              </w:rPr>
              <w:t xml:space="preserve">Geocortex/ArcGIS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6"/>
                <w:szCs w:val="16"/>
              </w:rPr>
              <w:t xml:space="preserve">gismaps.chatham-kent.ca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7"/>
                <w:szCs w:val="17"/>
              </w:rPr>
              <w:t xml:space="preserve">Brant County</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ArcGIS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6"/>
                <w:szCs w:val="16"/>
              </w:rPr>
              <w:t xml:space="preserve">maps.brant.ca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17"/>
                <w:szCs w:val="17"/>
              </w:rPr>
              <w:t xml:space="preserve">Norfolk County</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7"/>
                <w:szCs w:val="17"/>
              </w:rPr>
              <w:t xml:space="preserve">ArcGIS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6"/>
                <w:szCs w:val="16"/>
              </w:rPr>
              <w:t xml:space="preserve">norfolkcounty.ca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7"/>
                <w:szCs w:val="17"/>
              </w:rPr>
              <w:t xml:space="preserve">Oxford County</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Geocortex/ArcGIS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6"/>
                <w:szCs w:val="16"/>
              </w:rPr>
              <w:t xml:space="preserve">webmap.oxfordcounty.ca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17"/>
                <w:szCs w:val="17"/>
              </w:rPr>
              <w:t xml:space="preserve">Elgin County</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7"/>
                <w:szCs w:val="17"/>
              </w:rPr>
              <w:t xml:space="preserve">Geocortex/ArcGIS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6"/>
                <w:szCs w:val="16"/>
              </w:rPr>
              <w:t xml:space="preserve">geohub.elgin.ca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7"/>
                <w:szCs w:val="17"/>
              </w:rPr>
              <w:t xml:space="preserve">Middlesex County</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Geocortex/ArcGIS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6"/>
                <w:szCs w:val="16"/>
              </w:rPr>
              <w:t xml:space="preserve">maps.middlesex.ca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17"/>
                <w:szCs w:val="17"/>
              </w:rPr>
              <w:t xml:space="preserve">Lambton County</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7"/>
                <w:szCs w:val="17"/>
              </w:rPr>
              <w:t xml:space="preserve">ArcGIS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6"/>
                <w:szCs w:val="16"/>
              </w:rPr>
              <w:t xml:space="preserve">lambtongis.ca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7"/>
                <w:szCs w:val="17"/>
              </w:rPr>
              <w:t xml:space="preserve">Huron County</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Geocortex/ArcGIS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6"/>
                <w:szCs w:val="16"/>
              </w:rPr>
              <w:t xml:space="preserve">gis.huroncounty.ca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17"/>
                <w:szCs w:val="17"/>
              </w:rPr>
              <w:t xml:space="preserve">Perth County</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7"/>
                <w:szCs w:val="17"/>
              </w:rPr>
              <w:t xml:space="preserve">Geocortex/ArcGIS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6"/>
                <w:szCs w:val="16"/>
              </w:rPr>
              <w:t xml:space="preserve">maps.perthcounty.ca</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7"/>
                <w:szCs w:val="17"/>
              </w:rPr>
              <w:t xml:space="preserve">Haldimand County</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ArcGIS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6"/>
                <w:szCs w:val="16"/>
              </w:rPr>
              <w:t xml:space="preserve">maps.haldimandcounty.on.ca</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sz w:val="17"/>
                <w:szCs w:val="17"/>
              </w:rPr>
              <w:t xml:space="preserve">Kawartha Lakes</w:t>
            </w:r>
          </w:p>
        </w:tc>
        <w:tc>
          <w:tcPr>
            <w:tcW w:type="dxa" w:w="13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sz w:val="17"/>
                <w:szCs w:val="17"/>
              </w:rPr>
              <w:t xml:space="preserve">ArcGIS Hub</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2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555555"/>
                <w:sz w:val="16"/>
                <w:szCs w:val="16"/>
              </w:rPr>
              <w:t xml:space="preserve">geohub-kawartha.hub.arcgis.com</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7"/>
                <w:szCs w:val="17"/>
              </w:rPr>
              <w:t xml:space="preserve">Peterborough County</w:t>
            </w:r>
          </w:p>
        </w:tc>
        <w:tc>
          <w:tcPr>
            <w:tcW w:type="dxa" w:w="13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7"/>
                <w:szCs w:val="17"/>
              </w:rPr>
              <w:t xml:space="preserve">Geocortex/ArcGIS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1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2D6A4F"/>
                <w:sz w:val="17"/>
                <w:szCs w:val="17"/>
              </w:rPr>
              <w:t xml:space="preserve">Yes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6"/>
                <w:szCs w:val="16"/>
              </w:rPr>
              <w:t xml:space="preserve">ptbocounty.geocortex.com</w:t>
            </w:r>
          </w:p>
        </w:tc>
      </w:tr>
    </w:tbl>
    <w:p>
      <w:r>
        <w:br w:type="page"/>
      </w:r>
    </w:p>
    <w:p>
      <w:pPr>
        <w:pStyle w:val="Heading1"/>
      </w:pPr>
      <w:r>
        <w:t xml:space="preserve">Platform Analysis</w:t>
      </w:r>
    </w:p>
    <w:p>
      <w:pPr>
        <w:pStyle w:val="Heading2"/>
      </w:pPr>
      <w:r>
        <w:t xml:space="preserve">ArcGIS REST API (Universal)</w:t>
      </w:r>
    </w:p>
    <w:p>
      <w:pPr>
        <w:spacing w:after="120"/>
      </w:pPr>
      <w:r>
        <w:t xml:space="preserve">Every municipality researched runs on Esri ArcGIS. The ArcGIS REST API is standardized — the same query pattern works against Toronto’s enterprise server, Ottawa’s MapServer, and Elgin County’s Geocortex-fronted service. Key query capabilities:</w:t>
      </w:r>
    </w:p>
    <w:p>
      <w:pPr>
        <w:pStyle w:val="ListParagraph"/>
        <w:numPr>
          <w:ilvl w:val="0"/>
          <w:numId w:val="2"/>
        </w:numPr>
      </w:pPr>
      <w:r>
        <w:rPr>
          <w:b/>
          <w:bCs/>
        </w:rPr>
        <w:t xml:space="preserve">Spatial queries:</w:t>
      </w:r>
      <w:r>
        <w:t xml:space="preserve"> Query parcels by point (lat/lng), envelope, or polygon geometry</w:t>
      </w:r>
    </w:p>
    <w:p>
      <w:pPr>
        <w:pStyle w:val="ListParagraph"/>
        <w:numPr>
          <w:ilvl w:val="0"/>
          <w:numId w:val="2"/>
        </w:numPr>
      </w:pPr>
      <w:r>
        <w:rPr>
          <w:b/>
          <w:bCs/>
        </w:rPr>
        <w:t xml:space="preserve">Attribute queries:</w:t>
      </w:r>
      <w:r>
        <w:t xml:space="preserve"> Query parcels by ARN, address, owner name, zoning code</w:t>
      </w:r>
    </w:p>
    <w:p>
      <w:pPr>
        <w:pStyle w:val="ListParagraph"/>
        <w:numPr>
          <w:ilvl w:val="0"/>
          <w:numId w:val="2"/>
        </w:numPr>
      </w:pPr>
      <w:r>
        <w:rPr>
          <w:b/>
          <w:bCs/>
        </w:rPr>
        <w:t xml:space="preserve">Feature output:</w:t>
      </w:r>
      <w:r>
        <w:t xml:space="preserve"> Returns GeoJSON or Esri JSON with full geometry + attributes</w:t>
      </w:r>
    </w:p>
    <w:p>
      <w:pPr>
        <w:pStyle w:val="ListParagraph"/>
        <w:numPr>
          <w:ilvl w:val="0"/>
          <w:numId w:val="2"/>
        </w:numPr>
        <w:spacing w:after="120"/>
      </w:pPr>
      <w:r>
        <w:rPr>
          <w:b/>
          <w:bCs/>
        </w:rPr>
        <w:t xml:space="preserve">Pagination:</w:t>
      </w:r>
      <w:r>
        <w:t xml:space="preserve"> Most services return max 1,000–5,000 features per request; use resultOffset for pagination</w:t>
      </w:r>
    </w:p>
    <w:p>
      <w:pPr>
        <w:pStyle w:val="Heading2"/>
      </w:pPr>
      <w:r>
        <w:t xml:space="preserve">Geocortex (11 of 20 Counties)</w:t>
      </w:r>
    </w:p>
    <w:p>
      <w:pPr>
        <w:spacing w:after="120"/>
      </w:pPr>
      <w:r>
        <w:t xml:space="preserve">Geocortex is a viewer/middleware layer, not a replacement for ArcGIS. The underlying data is still served via ArcGIS REST services. Geocortex endpoints can be accessed programmatically, but discovering the underlying ArcGIS service URLs may require inspecting network traffic from the Geocortex viewer.</w:t>
      </w:r>
    </w:p>
    <w:p>
      <w:pPr>
        <w:pStyle w:val="Heading2"/>
      </w:pPr>
      <w:r>
        <w:t xml:space="preserve">ArcGIS Hub / Open Data (Most Municipalities)</w:t>
      </w:r>
    </w:p>
    <w:p>
      <w:pPr>
        <w:spacing w:after="200"/>
      </w:pPr>
      <w:r>
        <w:t xml:space="preserve">ArcGIS Hub portals (*.hub.arcgis.com or *.opendata.arcgis.com) provide downloadable datasets in CSV, KML, GeoJSON, and Shapefile formats. They also expose GeoServices, WMS, and WFS API endpoints. For bulk parcel downloads, the Hub portals are often the easiest path — download the full parcel dataset as GeoJSON and cache it locally.</w:t>
      </w:r>
    </w:p>
    <w:p>
      <w:pPr>
        <w:pStyle w:val="Heading1"/>
      </w:pPr>
      <w:r>
        <w:t xml:space="preserve">Potential Integration Strategy</w:t>
      </w:r>
    </w:p>
    <w:p>
      <w:pPr>
        <w:spacing w:after="120"/>
      </w:pPr>
      <w:r>
        <w:t xml:space="preserve">A phased approach that starts with the highest-value, lowest-risk integrations:</w:t>
      </w:r>
    </w:p>
    <w:p>
      <w:pPr>
        <w:pStyle w:val="Heading3"/>
      </w:pPr>
      <w:r>
        <w:t xml:space="preserve">Phase 1: Bulk Parcel Cache (Low Risk, High Value)</w:t>
      </w:r>
    </w:p>
    <w:p>
      <w:pPr>
        <w:spacing w:after="120"/>
      </w:pPr>
      <w:r>
        <w:t xml:space="preserve">Download parcel boundary datasets from the 16 major municipal open data portals. Store as a local cache (like clean-data/parcels/ today). This gives us verified geometry for the municipalities that account for the majority of Cleo’s transaction volume. No API rate limits, no per-query costs, no session management.</w:t>
      </w:r>
    </w:p>
    <w:p>
      <w:pPr>
        <w:pStyle w:val="Heading3"/>
      </w:pPr>
      <w:r>
        <w:t xml:space="preserve">Phase 2: Zoning Enrichment (Medium Risk, High Value)</w:t>
      </w:r>
    </w:p>
    <w:p>
      <w:pPr>
        <w:spacing w:after="120"/>
      </w:pPr>
      <w:r>
        <w:t xml:space="preserve">For municipalities with confirmed zoning FeatureServer endpoints (Toronto, Ottawa, London, Barrie, all 20 counties), query zoning attributes for each property at compile time. Add zoning designation to the property record. This directly addresses the “wrong parcel” problem — if a $100M multifamily transaction resolves to a parcel zoned R1 (single residential), we know something’s wrong.</w:t>
      </w:r>
    </w:p>
    <w:p>
      <w:pPr>
        <w:pStyle w:val="Heading3"/>
      </w:pPr>
      <w:r>
        <w:t xml:space="preserve">Phase 3: Direct Municipal Geocoding (Higher Risk)</w:t>
      </w:r>
    </w:p>
    <w:p>
      <w:pPr>
        <w:spacing w:after="200"/>
      </w:pPr>
      <w:r>
        <w:t xml:space="preserve">For municipalities with address-searchable FeatureServers, bypass the Ontario Geocoder entirely and resolve addresses directly against the municipal parcel layer. This would be the most accurate approach but requires per-municipality endpoint discovery and maintenance.</w:t>
      </w:r>
    </w:p>
    <w:p>
      <w:pPr>
        <w:pStyle w:val="Heading1"/>
      </w:pPr>
      <w:r>
        <w:t xml:space="preserve">Risks and Considerations</w:t>
      </w:r>
    </w:p>
    <w:p>
      <w:pPr>
        <w:pStyle w:val="ListParagraph"/>
        <w:numPr>
          <w:ilvl w:val="0"/>
          <w:numId w:val="2"/>
        </w:numPr>
      </w:pPr>
      <w:r>
        <w:rPr>
          <w:b/>
          <w:bCs/>
        </w:rPr>
        <w:t xml:space="preserve">Endpoint stability: </w:t>
      </w:r>
      <w:r>
        <w:t xml:space="preserve">Municipal ArcGIS service URLs can change without notice. Need a monitoring/health-check system.</w:t>
      </w:r>
    </w:p>
    <w:p>
      <w:pPr>
        <w:pStyle w:val="ListParagraph"/>
        <w:numPr>
          <w:ilvl w:val="0"/>
          <w:numId w:val="2"/>
        </w:numPr>
      </w:pPr>
      <w:r>
        <w:rPr>
          <w:b/>
          <w:bCs/>
        </w:rPr>
        <w:t xml:space="preserve">Rate limits: </w:t>
      </w:r>
      <w:r>
        <w:t xml:space="preserve">Some municipal ArcGIS servers may have undocumented rate limits. Start with bulk downloads, not per-query API calls.</w:t>
      </w:r>
    </w:p>
    <w:p>
      <w:pPr>
        <w:pStyle w:val="ListParagraph"/>
        <w:numPr>
          <w:ilvl w:val="0"/>
          <w:numId w:val="2"/>
        </w:numPr>
      </w:pPr>
      <w:r>
        <w:rPr>
          <w:b/>
          <w:bCs/>
        </w:rPr>
        <w:t xml:space="preserve">Data freshness: </w:t>
      </w:r>
      <w:r>
        <w:t xml:space="preserve">Municipal parcel data update frequency varies. Some update quarterly, some annually. Need a refresh strategy.</w:t>
      </w:r>
    </w:p>
    <w:p>
      <w:pPr>
        <w:pStyle w:val="ListParagraph"/>
        <w:numPr>
          <w:ilvl w:val="0"/>
          <w:numId w:val="2"/>
        </w:numPr>
      </w:pPr>
      <w:r>
        <w:rPr>
          <w:b/>
          <w:bCs/>
        </w:rPr>
        <w:t xml:space="preserve">Schema variation: </w:t>
      </w:r>
      <w:r>
        <w:t xml:space="preserve">While all use ArcGIS, field names differ (e.g., “ARN” vs “Roll_Num” vs “Assessment_Roll”). Need per-municipality field mapping.</w:t>
      </w:r>
    </w:p>
    <w:p>
      <w:pPr>
        <w:pStyle w:val="ListParagraph"/>
        <w:numPr>
          <w:ilvl w:val="0"/>
          <w:numId w:val="2"/>
        </w:numPr>
      </w:pPr>
      <w:r>
        <w:rPr>
          <w:b/>
          <w:bCs/>
        </w:rPr>
        <w:t xml:space="preserve">Coverage gaps: </w:t>
      </w:r>
      <w:r>
        <w:t xml:space="preserve">Northern Ontario municipalities (Sudbury, Sault Ste. Marie, North Bay, Timmins) were not researched yet. Lower transaction volume but may still matter.</w:t>
      </w:r>
    </w:p>
    <w:p>
      <w:pPr>
        <w:pStyle w:val="ListParagraph"/>
        <w:numPr>
          <w:ilvl w:val="0"/>
          <w:numId w:val="2"/>
        </w:numPr>
        <w:spacing w:after="200"/>
      </w:pPr>
      <w:r>
        <w:rPr>
          <w:b/>
          <w:bCs/>
        </w:rPr>
        <w:t xml:space="preserve">Licensing: </w:t>
      </w:r>
      <w:r>
        <w:t xml:space="preserve">Most open data portals have permissive licenses (Open Government Licence). Verify each municipality’s terms before commercial use.</w:t>
      </w:r>
    </w:p>
    <w:p>
      <w:pPr>
        <w:pStyle w:val="Heading1"/>
      </w:pPr>
      <w:r>
        <w:t xml:space="preserve">Recommended Next Steps</w:t>
      </w:r>
    </w:p>
    <w:p>
      <w:pPr>
        <w:pStyle w:val="ListParagraph"/>
        <w:numPr>
          <w:ilvl w:val="0"/>
          <w:numId w:val="3"/>
        </w:numPr>
      </w:pPr>
      <w:r>
        <w:rPr>
          <w:b/>
          <w:bCs/>
        </w:rPr>
        <w:t xml:space="preserve">Endpoint discovery: </w:t>
      </w:r>
      <w:r>
        <w:t xml:space="preserve">For the top 10 municipalities by Cleo transaction volume, find the exact ArcGIS REST service URLs for parcel and zoning layers. Confirm they support spatial queries.</w:t>
      </w:r>
    </w:p>
    <w:p>
      <w:pPr>
        <w:pStyle w:val="ListParagraph"/>
        <w:numPr>
          <w:ilvl w:val="0"/>
          <w:numId w:val="3"/>
        </w:numPr>
      </w:pPr>
      <w:r>
        <w:rPr>
          <w:b/>
          <w:bCs/>
        </w:rPr>
        <w:t xml:space="preserve">Test queries: </w:t>
      </w:r>
      <w:r>
        <w:t xml:space="preserve">Run sample spatial queries against 3–4 confirmed endpoints (Toronto, Ottawa, London, one county) to validate the approach and measure response quality.</w:t>
      </w:r>
    </w:p>
    <w:p>
      <w:pPr>
        <w:pStyle w:val="ListParagraph"/>
        <w:numPr>
          <w:ilvl w:val="0"/>
          <w:numId w:val="3"/>
        </w:numPr>
      </w:pPr>
      <w:r>
        <w:rPr>
          <w:b/>
          <w:bCs/>
        </w:rPr>
        <w:t xml:space="preserve">Bulk download pilot: </w:t>
      </w:r>
      <w:r>
        <w:t xml:space="preserve">Download the full parcel dataset from Toronto and London open data portals. Assess file size, data quality, and field coverage.</w:t>
      </w:r>
    </w:p>
    <w:p>
      <w:pPr>
        <w:pStyle w:val="ListParagraph"/>
        <w:numPr>
          <w:ilvl w:val="0"/>
          <w:numId w:val="3"/>
        </w:numPr>
      </w:pPr>
      <w:r>
        <w:rPr>
          <w:b/>
          <w:bCs/>
        </w:rPr>
        <w:t xml:space="preserve">Schema mapping: </w:t>
      </w:r>
      <w:r>
        <w:t xml:space="preserve">Document the field names and data formats for parcels and zoning across the pilot municipalities. Design a unified schema for Cleo’s parcel cache.</w:t>
      </w:r>
    </w:p>
    <w:p>
      <w:pPr>
        <w:pStyle w:val="ListParagraph"/>
        <w:numPr>
          <w:ilvl w:val="0"/>
          <w:numId w:val="3"/>
        </w:numPr>
        <w:spacing w:after="200"/>
      </w:pPr>
      <w:r>
        <w:rPr>
          <w:b/>
          <w:bCs/>
        </w:rPr>
        <w:t xml:space="preserve">Architecture design: </w:t>
      </w:r>
      <w:r>
        <w:t xml:space="preserve">Plan how municipal parcel data integrates with the existing resolver chain — as an additional resolution step, a cross-validation layer, or a replacement for specific municipalities.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Cleo Turbo — Discovery Research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33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D6A4F"/>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916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2026-04-13T14:26:32.508Z</dcterms:created>
  <dcterms:modified xsi:type="dcterms:W3CDTF">2026-04-13T14:26:32.509Z</dcterms:modified>
</cp:coreProperties>
</file>

<file path=docProps/custom.xml><?xml version="1.0" encoding="utf-8"?>
<Properties xmlns="http://schemas.openxmlformats.org/officeDocument/2006/custom-properties" xmlns:vt="http://schemas.openxmlformats.org/officeDocument/2006/docPropsVTypes"/>
</file>