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80"/>
        <w:jc w:val="center"/>
      </w:pPr>
      <w:r>
        <w:rPr>
          <w:rFonts w:ascii="Arial" w:cs="Arial" w:eastAsia="Arial" w:hAnsi="Arial"/>
          <w:b/>
          <w:bCs/>
          <w:color w:val="2E7D5B"/>
          <w:spacing w:val="200"/>
          <w:sz w:val="20"/>
          <w:szCs w:val="20"/>
        </w:rPr>
        <w:t xml:space="preserve">IMPLEMENTATION PLAN</w:t>
      </w:r>
    </w:p>
    <w:p>
      <w:pPr>
        <w:spacing w:after="200"/>
        <w:jc w:val="center"/>
      </w:pPr>
      <w:r>
        <w:rPr>
          <w:rFonts w:ascii="Arial" w:cs="Arial" w:eastAsia="Arial" w:hAnsi="Arial"/>
          <w:b/>
          <w:bCs/>
          <w:color w:val="1A1A2E"/>
          <w:sz w:val="52"/>
          <w:szCs w:val="52"/>
        </w:rPr>
        <w:t xml:space="preserve">Shared Address Formatter</w:t>
      </w:r>
    </w:p>
    <w:p>
      <w:pPr>
        <w:spacing w:after="400"/>
        <w:jc w:val="center"/>
      </w:pPr>
      <w:r>
        <w:rPr>
          <w:rFonts w:ascii="Arial" w:cs="Arial" w:eastAsia="Arial" w:hAnsi="Arial"/>
          <w:color w:val="4A4A5A"/>
          <w:sz w:val="24"/>
          <w:szCs w:val="24"/>
        </w:rPr>
        <w:t xml:space="preserve">Standardize address formatting across RT, GW, and OSM pipelines</w:t>
      </w:r>
    </w:p>
    <w:p>
      <w:pPr>
        <w:spacing w:after="12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sz="0"/>
              <w:left w:val="none" w:sz="0"/>
              <w:bottom w:val="none" w:sz="0"/>
              <w:right w:val="none" w:sz="0"/>
            </w:tcBorders>
          </w:tcPr>
          <w:p>
            <w:pPr>
              <w:jc w:val="right"/>
            </w:pPr>
            <w:r>
              <w:rPr>
                <w:b/>
                <w:bCs/>
                <w:color w:val="4A4A5A"/>
                <w:sz w:val="20"/>
                <w:szCs w:val="20"/>
              </w:rPr>
              <w:t xml:space="preserve">Date:</w:t>
            </w:r>
          </w:p>
        </w:tc>
        <w:tc>
          <w:tcPr>
            <w:tcW w:type="dxa" w:w="3600"/>
            <w:tcBorders>
              <w:top w:val="none" w:sz="0"/>
              <w:left w:val="none" w:sz="0"/>
              <w:bottom w:val="none" w:sz="0"/>
              <w:right w:val="none" w:sz="0"/>
            </w:tcBorders>
          </w:tcPr>
          <w:p>
            <w:r>
              <w:rPr>
                <w:color w:val="1A1A2E"/>
                <w:sz w:val="20"/>
                <w:szCs w:val="20"/>
              </w:rPr>
              <w:t xml:space="preserve">  April 11, 2026</w:t>
            </w:r>
          </w:p>
        </w:tc>
      </w:tr>
      <w:tr>
        <w:tc>
          <w:tcPr>
            <w:tcW w:type="dxa" w:w="1800"/>
            <w:tcBorders>
              <w:top w:val="none" w:sz="0"/>
              <w:left w:val="none" w:sz="0"/>
              <w:bottom w:val="none" w:sz="0"/>
              <w:right w:val="none" w:sz="0"/>
            </w:tcBorders>
          </w:tcPr>
          <w:p>
            <w:pPr>
              <w:jc w:val="right"/>
            </w:pPr>
            <w:r>
              <w:rPr>
                <w:b/>
                <w:bCs/>
                <w:color w:val="4A4A5A"/>
                <w:sz w:val="20"/>
                <w:szCs w:val="20"/>
              </w:rPr>
              <w:t xml:space="preserve">Status:</w:t>
            </w:r>
          </w:p>
        </w:tc>
        <w:tc>
          <w:tcPr>
            <w:tcW w:type="dxa" w:w="3600"/>
            <w:tcBorders>
              <w:top w:val="none" w:sz="0"/>
              <w:left w:val="none" w:sz="0"/>
              <w:bottom w:val="none" w:sz="0"/>
              <w:right w:val="none" w:sz="0"/>
            </w:tcBorders>
          </w:tcPr>
          <w:p>
            <w:r>
              <w:rPr>
                <w:color w:val="1A1A2E"/>
                <w:sz w:val="20"/>
                <w:szCs w:val="20"/>
              </w:rPr>
              <w:t xml:space="preserve">  Ready for review</w:t>
            </w:r>
          </w:p>
        </w:tc>
      </w:tr>
      <w:tr>
        <w:tc>
          <w:tcPr>
            <w:tcW w:type="dxa" w:w="1800"/>
            <w:tcBorders>
              <w:top w:val="none" w:sz="0"/>
              <w:left w:val="none" w:sz="0"/>
              <w:bottom w:val="none" w:sz="0"/>
              <w:right w:val="none" w:sz="0"/>
            </w:tcBorders>
          </w:tcPr>
          <w:p>
            <w:pPr>
              <w:jc w:val="right"/>
            </w:pPr>
            <w:r>
              <w:rPr>
                <w:b/>
                <w:bCs/>
                <w:color w:val="4A4A5A"/>
                <w:sz w:val="20"/>
                <w:szCs w:val="20"/>
              </w:rPr>
              <w:t xml:space="preserve">Scope:</w:t>
            </w:r>
          </w:p>
        </w:tc>
        <w:tc>
          <w:tcPr>
            <w:tcW w:type="dxa" w:w="3600"/>
            <w:tcBorders>
              <w:top w:val="none" w:sz="0"/>
              <w:left w:val="none" w:sz="0"/>
              <w:bottom w:val="none" w:sz="0"/>
              <w:right w:val="none" w:sz="0"/>
            </w:tcBorders>
          </w:tcPr>
          <w:p>
            <w:r>
              <w:rPr>
                <w:color w:val="1A1A2E"/>
                <w:sz w:val="20"/>
                <w:szCs w:val="20"/>
              </w:rPr>
              <w:t xml:space="preserve">  86,884 properties + 21,012 POIs</w:t>
            </w:r>
          </w:p>
        </w:tc>
      </w:tr>
    </w:tbl>
    <w:p>
      <w:r>
        <w:br w:type="page"/>
      </w:r>
    </w:p>
    <w:p>
      <w:pPr>
        <w:pStyle w:val="Heading1"/>
      </w:pPr>
      <w:r>
        <w:t xml:space="preserve">1. Problem Statement</w:t>
      </w:r>
    </w:p>
    <w:p>
      <w:pPr>
        <w:spacing w:after="160"/>
      </w:pPr>
      <w:r>
        <w:t xml:space="preserve">Cleo Turbo displays property addresses inconsistently because three separate data pipelines (RT, GW, and OSM) each format addresses differently. The same street can appear as "591 Twelfth Street," "893 10Th Street," or "678 Broadway St" depending on which source provided the data and which pipeline processed it. This creates a poor user experience and makes searching unreliable.</w:t>
      </w:r>
    </w:p>
    <w:p>
      <w:pPr>
        <w:pStyle w:val="Heading2"/>
      </w:pPr>
      <w:r>
        <w:t xml:space="preserve">Current State by the Numbers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Inconsistency Type</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Affected Records</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Example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Broken title case (10Th, 2Nd)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123 properties</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893 10Th Street, Hanover</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Abbreviated suffixes (St, Rd, Ave)</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898 properties + 163 POIs</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340 Concession St, Hamilton</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Single-letter directions (E, W)</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175 properties + 34 POIs</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1299 Oxford Street E, London</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Mixed ordinal forms (Tenth vs 10th)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~2,600 word + ~130 numeric</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252 Tenth St vs 478 14th Street</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No normalization at all (OSM)</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21,012 POIs</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Raw OpenStreetMap contributor text</w:t>
            </w:r>
          </w:p>
        </w:tc>
      </w:tr>
    </w:tbl>
    <w:p>
      <w:pPr>
        <w:spacing w:after="120"/>
      </w:pPr>
    </w:p>
    <w:p>
      <w:pPr>
        <w:pStyle w:val="Heading2"/>
      </w:pPr>
      <w:r>
        <w:t xml:space="preserve">Root Causes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Pipeline</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Normalizer Quality</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Key Issue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RT (Realtrack)</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Good (11-step decomposer)</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Ordinal street names not standardized in display output; dictionaries exist but only used for search keys</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GW (GeoWarehouse)</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Basic (string manipulation)</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Uses Python .title() which breaks ordinals (10th → 10Th); only 18 suffix mappings vs RT’s 65; directions kept as single letters (E vs East)</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OSM (OpenStreetMap)</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None</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Raw tag values passed through every stage with zero normalization</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Compiler</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Pass-through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GW unconditionally overwrites RT display_address during enrichment; no shared formatting applied</w:t>
            </w:r>
          </w:p>
        </w:tc>
      </w:tr>
    </w:tbl>
    <w:p>
      <w:r>
        <w:br w:type="page"/>
      </w:r>
    </w:p>
    <w:p>
      <w:pPr>
        <w:pStyle w:val="Heading1"/>
      </w:pPr>
      <w:r>
        <w:t xml:space="preserve">ACTIVE REPROCESS: Safety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2"/>
              <w:bottom w:val="single" w:color="991B1B" w:sz="1"/>
              <w:right w:val="single" w:color="991B1B" w:sz="1"/>
            </w:tcBorders>
            <w:shd w:fill="FEE2E2" w:val="clear"/>
            <w:tcMar>
              <w:top w:type="dxa" w:w="120"/>
              <w:left w:type="dxa" w:w="200"/>
              <w:bottom w:type="dxa" w:w="120"/>
              <w:right w:type="dxa" w:w="200"/>
            </w:tcMar>
          </w:tcPr>
          <w:p>
            <w:r>
              <w:rPr>
                <w:color w:val="991B1B"/>
                <w:sz w:val="20"/>
                <w:szCs w:val="20"/>
              </w:rPr>
              <w:t xml:space="preserve">A full RT reprocess (resolve_v2 --reprocess) is currently running. It is re-resolving all 119,760 pending records at ~0.8 records/sec with an estimated ~28 hours remaining. The rules below MUST be followed until this run completes.</w:t>
            </w:r>
          </w:p>
        </w:tc>
      </w:tr>
    </w:tbl>
    <w:p>
      <w:pPr>
        <w:spacing w:after="120"/>
      </w:pPr>
    </w:p>
    <w:p>
      <w:pPr>
        <w:pStyle w:val="Heading2"/>
      </w:pPr>
      <w:r>
        <w:t xml:space="preserve">What is safe to do right now</w:t>
      </w:r>
    </w:p>
    <w:p>
      <w:pPr>
        <w:spacing w:after="120"/>
      </w:pPr>
    </w:p>
    <w:p>
      <w:pPr>
        <w:pStyle w:val="ListParagraph"/>
        <w:numPr>
          <w:ilvl w:val="0"/>
          <w:numId w:val="2"/>
        </w:numPr>
        <w:spacing w:after="80"/>
      </w:pPr>
      <w:r>
        <w:rPr>
          <w:rFonts w:ascii="Arial" w:cs="Arial" w:eastAsia="Arial" w:hAnsi="Arial"/>
          <w:sz w:val="22"/>
          <w:szCs w:val="22"/>
        </w:rPr>
        <w:t xml:space="preserve">Create the new cleo/address/ shared module (Phase 1 of this plan). This is new code that nothing imports yet.</w:t>
      </w:r>
    </w:p>
    <w:p>
      <w:pPr>
        <w:pStyle w:val="ListParagraph"/>
        <w:numPr>
          <w:ilvl w:val="0"/>
          <w:numId w:val="2"/>
        </w:numPr>
        <w:spacing w:after="80"/>
      </w:pPr>
      <w:r>
        <w:rPr>
          <w:rFonts w:ascii="Arial" w:cs="Arial" w:eastAsia="Arial" w:hAnsi="Arial"/>
          <w:sz w:val="22"/>
          <w:szCs w:val="22"/>
        </w:rPr>
        <w:t xml:space="preserve">Move dictionaries and formatting functions to the shared module with re-exports from the old locations. Resolve does not import any display formatting code.</w:t>
      </w:r>
    </w:p>
    <w:p>
      <w:pPr>
        <w:pStyle w:val="ListParagraph"/>
        <w:numPr>
          <w:ilvl w:val="0"/>
          <w:numId w:val="2"/>
        </w:numPr>
        <w:spacing w:after="80"/>
      </w:pPr>
      <w:r>
        <w:rPr>
          <w:rFonts w:ascii="Arial" w:cs="Arial" w:eastAsia="Arial" w:hAnsi="Arial"/>
          <w:sz w:val="22"/>
          <w:szCs w:val="22"/>
        </w:rPr>
        <w:t xml:space="preserve">Write and run unit tests for the shared formatter.</w:t>
      </w:r>
    </w:p>
    <w:p>
      <w:pPr>
        <w:pStyle w:val="ListParagraph"/>
        <w:numPr>
          <w:ilvl w:val="0"/>
          <w:numId w:val="2"/>
        </w:numPr>
        <w:spacing w:after="80"/>
      </w:pPr>
      <w:r>
        <w:rPr>
          <w:rFonts w:ascii="Arial" w:cs="Arial" w:eastAsia="Arial" w:hAnsi="Arial"/>
          <w:sz w:val="22"/>
          <w:szCs w:val="22"/>
        </w:rPr>
        <w:t xml:space="preserve">Update RT’s _build_display() to call the shared format_display() (Phase 2). The resolve stage never calls _build_display() — it only runs during the normalize stage, which has already completed.</w:t>
      </w:r>
    </w:p>
    <w:p>
      <w:pPr>
        <w:pStyle w:val="ListParagraph"/>
        <w:numPr>
          <w:ilvl w:val="0"/>
          <w:numId w:val="2"/>
        </w:numPr>
        <w:spacing w:after="80"/>
      </w:pPr>
      <w:r>
        <w:rPr>
          <w:rFonts w:ascii="Arial" w:cs="Arial" w:eastAsia="Arial" w:hAnsi="Arial"/>
          <w:sz w:val="22"/>
          <w:szCs w:val="22"/>
        </w:rPr>
        <w:t xml:space="preserve">Build the GW normalizer changes (Phase 3). The GW pipeline is completely independent from the RT resolve run.</w:t>
      </w:r>
    </w:p>
    <w:p>
      <w:pPr>
        <w:pStyle w:val="ListParagraph"/>
        <w:numPr>
          <w:ilvl w:val="0"/>
          <w:numId w:val="2"/>
        </w:numPr>
        <w:spacing w:after="80"/>
      </w:pPr>
      <w:r>
        <w:rPr>
          <w:rFonts w:ascii="Arial" w:cs="Arial" w:eastAsia="Arial" w:hAnsi="Arial"/>
          <w:sz w:val="22"/>
          <w:szCs w:val="22"/>
        </w:rPr>
        <w:t xml:space="preserve">Build the compiler changes (Phase 4). The compiler is not running.</w:t>
      </w:r>
    </w:p>
    <w:p>
      <w:pPr>
        <w:spacing w:after="120"/>
      </w:pPr>
    </w:p>
    <w:p>
      <w:pPr>
        <w:pStyle w:val="Heading2"/>
      </w:pPr>
      <w:r>
        <w:t xml:space="preserve">What will BREAK the active run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2"/>
              <w:bottom w:val="single" w:color="991B1B" w:sz="1"/>
              <w:right w:val="single" w:color="991B1B" w:sz="1"/>
            </w:tcBorders>
            <w:shd w:fill="FEE2E2" w:val="clear"/>
            <w:tcMar>
              <w:top w:type="dxa" w:w="120"/>
              <w:left w:type="dxa" w:w="200"/>
              <w:bottom w:type="dxa" w:w="120"/>
              <w:right w:type="dxa" w:w="200"/>
            </w:tcMar>
          </w:tcPr>
          <w:p>
            <w:r>
              <w:rPr>
                <w:color w:val="991B1B"/>
                <w:sz w:val="20"/>
                <w:szCs w:val="20"/>
              </w:rPr>
              <w:t xml:space="preserve">DO NOT run any of the following commands until resolve_v2 finishes:</w:t>
            </w:r>
          </w:p>
        </w:tc>
      </w:tr>
    </w:tbl>
    <w:p>
      <w:pPr>
        <w:spacing w:after="120"/>
      </w:pPr>
    </w:p>
    <w:p>
      <w:pPr>
        <w:pStyle w:val="ListParagraph"/>
        <w:numPr>
          <w:ilvl w:val="0"/>
          <w:numId w:val="2"/>
        </w:numPr>
        <w:spacing w:after="80"/>
      </w:pPr>
      <w:r>
        <w:rPr>
          <w:rFonts w:ascii="Arial" w:cs="Arial" w:eastAsia="Arial" w:hAnsi="Arial"/>
          <w:sz w:val="22"/>
          <w:szCs w:val="22"/>
        </w:rPr>
        <w:t xml:space="preserve">process.py --from normalize — This overwrites pipeline/normalized/ files that resolve_v2 is actively reading. It will corrupt the run, producing mismatched resolve output.</w:t>
      </w:r>
    </w:p>
    <w:p>
      <w:pPr>
        <w:pStyle w:val="ListParagraph"/>
        <w:numPr>
          <w:ilvl w:val="0"/>
          <w:numId w:val="2"/>
        </w:numPr>
        <w:spacing w:after="80"/>
      </w:pPr>
      <w:r>
        <w:rPr>
          <w:rFonts w:ascii="Arial" w:cs="Arial" w:eastAsia="Arial" w:hAnsi="Arial"/>
          <w:sz w:val="22"/>
          <w:szCs w:val="22"/>
        </w:rPr>
        <w:t xml:space="preserve">process.py --from classify — Same problem. Classify writes to pipeline/classified/, which normalize reads, which feeds into the files resolve is processing.</w:t>
      </w:r>
    </w:p>
    <w:p>
      <w:pPr>
        <w:pStyle w:val="ListParagraph"/>
        <w:numPr>
          <w:ilvl w:val="0"/>
          <w:numId w:val="2"/>
        </w:numPr>
        <w:spacing w:after="80"/>
      </w:pPr>
      <w:r>
        <w:rPr>
          <w:rFonts w:ascii="Arial" w:cs="Arial" w:eastAsia="Arial" w:hAnsi="Arial"/>
          <w:sz w:val="22"/>
          <w:szCs w:val="22"/>
        </w:rPr>
        <w:t xml:space="preserve">process.py --new — Safe in theory (only processes new records), but if it triggers a normalize pass that touches files resolve is reading, it can cause race conditions.</w:t>
      </w:r>
    </w:p>
    <w:p>
      <w:pPr>
        <w:pStyle w:val="ListParagraph"/>
        <w:numPr>
          <w:ilvl w:val="0"/>
          <w:numId w:val="2"/>
        </w:numPr>
        <w:spacing w:after="80"/>
      </w:pPr>
      <w:r>
        <w:rPr>
          <w:rFonts w:ascii="Arial" w:cs="Arial" w:eastAsia="Arial" w:hAnsi="Arial"/>
          <w:sz w:val="22"/>
          <w:szCs w:val="22"/>
        </w:rPr>
        <w:t xml:space="preserve">python -m cleo.compiler — The compiler drops and rebuilds derived tables. If you run it before resolve finishes, you’ll rebuild the database with incomplete resolve results (only 38k of 120k records resolved). Wait for resolve to finish, THEN compile.</w:t>
      </w:r>
    </w:p>
    <w:p>
      <w:pPr>
        <w:pStyle w:val="ListParagraph"/>
        <w:numPr>
          <w:ilvl w:val="0"/>
          <w:numId w:val="2"/>
        </w:numPr>
        <w:spacing w:after="80"/>
      </w:pPr>
      <w:r>
        <w:rPr>
          <w:rFonts w:ascii="Arial" w:cs="Arial" w:eastAsia="Arial" w:hAnsi="Arial"/>
          <w:sz w:val="22"/>
          <w:szCs w:val="22"/>
        </w:rPr>
        <w:t xml:space="preserve">Deleting or moving any files in pipeline/normalized/ or pipeline/resolved/ — Resolve reads from normalized and writes to resolved. Don’t touch either directory.</w:t>
      </w:r>
    </w:p>
    <w:p>
      <w:pPr>
        <w:spacing w:after="120"/>
      </w:pPr>
    </w:p>
    <w:p>
      <w:pPr>
        <w:pStyle w:val="Heading2"/>
      </w:pPr>
      <w:r>
        <w:t xml:space="preserve">After the reprocess completes</w:t>
      </w:r>
    </w:p>
    <w:p>
      <w:pPr>
        <w:spacing w:after="160"/>
      </w:pPr>
      <w:r>
        <w:t xml:space="preserve">Once resolve_v2 finishes (you’ll see a summary line with total resolved/unresolved counts and the process exits), follow this sequence:</w:t>
      </w:r>
    </w:p>
    <w:p>
      <w:pPr>
        <w:spacing w:after="120"/>
      </w:pPr>
    </w:p>
    <w:p>
      <w:pPr>
        <w:pStyle w:val="ListParagraph"/>
        <w:numPr>
          <w:ilvl w:val="0"/>
          <w:numId w:val="3"/>
        </w:numPr>
        <w:spacing w:after="80"/>
      </w:pPr>
      <w:r>
        <w:rPr>
          <w:rFonts w:ascii="Arial" w:cs="Arial" w:eastAsia="Arial" w:hAnsi="Arial"/>
          <w:sz w:val="22"/>
          <w:szCs w:val="22"/>
        </w:rPr>
        <w:t xml:space="preserve">Verify the run completed cleanly: check the final summary output and pipeline/_processing_log.jsonl for errors.</w:t>
      </w:r>
    </w:p>
    <w:p>
      <w:pPr>
        <w:pStyle w:val="ListParagraph"/>
        <w:numPr>
          <w:ilvl w:val="0"/>
          <w:numId w:val="3"/>
        </w:numPr>
        <w:spacing w:after="80"/>
      </w:pPr>
      <w:r>
        <w:rPr>
          <w:rFonts w:ascii="Arial" w:cs="Arial" w:eastAsia="Arial" w:hAnsi="Arial"/>
          <w:sz w:val="22"/>
          <w:szCs w:val="22"/>
        </w:rPr>
        <w:t xml:space="preserve">Run process.py --from normalize to rewrite all 124,544 normalized files with the new display format from the shared formatter. This is fast (~2 minutes, no API calls) and does not redo resolution.</w:t>
      </w:r>
    </w:p>
    <w:p>
      <w:pPr>
        <w:pStyle w:val="ListParagraph"/>
        <w:numPr>
          <w:ilvl w:val="0"/>
          <w:numId w:val="3"/>
        </w:numPr>
        <w:spacing w:after="80"/>
      </w:pPr>
      <w:r>
        <w:rPr>
          <w:rFonts w:ascii="Arial" w:cs="Arial" w:eastAsia="Arial" w:hAnsi="Arial"/>
          <w:sz w:val="22"/>
          <w:szCs w:val="22"/>
        </w:rPr>
        <w:t xml:space="preserve">Run process.py compile stage or python -m cleo.compiler to rebuild the database with consistently formatted addresses.</w:t>
      </w:r>
    </w:p>
    <w:p>
      <w:pPr>
        <w:pStyle w:val="ListParagraph"/>
        <w:numPr>
          <w:ilvl w:val="0"/>
          <w:numId w:val="3"/>
        </w:numPr>
        <w:spacing w:after="80"/>
      </w:pPr>
      <w:r>
        <w:rPr>
          <w:rFonts w:ascii="Arial" w:cs="Arial" w:eastAsia="Arial" w:hAnsi="Arial"/>
          <w:sz w:val="22"/>
          <w:szCs w:val="22"/>
        </w:rPr>
        <w:t xml:space="preserve">Spot-check the Properties page: search for "732 10th St" and verify it now appears. Check Hanover results for consistent ordinal formatting.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B" w:sz="1"/>
              <w:left w:val="single" w:color="2E7D5B" w:sz="12"/>
              <w:bottom w:val="single" w:color="2E7D5B" w:sz="1"/>
              <w:right w:val="single" w:color="2E7D5B" w:sz="1"/>
            </w:tcBorders>
            <w:shd w:fill="E6F5EE" w:val="clear"/>
            <w:tcMar>
              <w:top w:type="dxa" w:w="120"/>
              <w:left w:type="dxa" w:w="200"/>
              <w:bottom w:type="dxa" w:w="120"/>
              <w:right w:type="dxa" w:w="200"/>
            </w:tcMar>
          </w:tcPr>
          <w:p>
            <w:r>
              <w:rPr>
                <w:color w:val="2E7D5B"/>
                <w:sz w:val="20"/>
                <w:szCs w:val="20"/>
              </w:rPr>
              <w:t xml:space="preserve">The resolve stage does not use display strings for anything. It uses search_keys and geocode_strings from the normalized files to do parcel resolution. Changing how "10th" vs "Tenth" displays has zero impact on which parcel an address resolves to. All resolve results remain valid after reformatting.</w:t>
            </w:r>
          </w:p>
        </w:tc>
      </w:tr>
    </w:tbl>
    <w:p>
      <w:r>
        <w:br w:type="page"/>
      </w:r>
    </w:p>
    <w:p>
      <w:pPr>
        <w:pStyle w:val="Heading1"/>
      </w:pPr>
      <w:r>
        <w:t xml:space="preserve">2. Design Goals</w:t>
      </w:r>
    </w:p>
    <w:p>
      <w:pPr>
        <w:spacing w:after="120"/>
      </w:pPr>
    </w:p>
    <w:p>
      <w:pPr>
        <w:pStyle w:val="ListParagraph"/>
        <w:numPr>
          <w:ilvl w:val="0"/>
          <w:numId w:val="3"/>
        </w:numPr>
        <w:spacing w:after="80"/>
      </w:pPr>
      <w:r>
        <w:rPr>
          <w:rFonts w:ascii="Arial" w:cs="Arial" w:eastAsia="Arial" w:hAnsi="Arial"/>
          <w:sz w:val="22"/>
          <w:szCs w:val="22"/>
        </w:rPr>
        <w:t xml:space="preserve">Every property and POI address uses the same formatting rules regardless of source.</w:t>
      </w:r>
    </w:p>
    <w:p>
      <w:pPr>
        <w:pStyle w:val="ListParagraph"/>
        <w:numPr>
          <w:ilvl w:val="0"/>
          <w:numId w:val="3"/>
        </w:numPr>
        <w:spacing w:after="80"/>
      </w:pPr>
      <w:r>
        <w:rPr>
          <w:rFonts w:ascii="Arial" w:cs="Arial" w:eastAsia="Arial" w:hAnsi="Arial"/>
          <w:sz w:val="22"/>
          <w:szCs w:val="22"/>
        </w:rPr>
        <w:t xml:space="preserve">A single shared module owns all formatting decisions. No pipeline-specific formatting logic.</w:t>
      </w:r>
    </w:p>
    <w:p>
      <w:pPr>
        <w:pStyle w:val="ListParagraph"/>
        <w:numPr>
          <w:ilvl w:val="0"/>
          <w:numId w:val="3"/>
        </w:numPr>
        <w:spacing w:after="80"/>
      </w:pPr>
      <w:r>
        <w:rPr>
          <w:rFonts w:ascii="Arial" w:cs="Arial" w:eastAsia="Arial" w:hAnsi="Arial"/>
          <w:sz w:val="22"/>
          <w:szCs w:val="22"/>
        </w:rPr>
        <w:t xml:space="preserve">The shared formatter is called at the last mile (compiler output) so source data is preserved as-is.</w:t>
      </w:r>
    </w:p>
    <w:p>
      <w:pPr>
        <w:pStyle w:val="ListParagraph"/>
        <w:numPr>
          <w:ilvl w:val="0"/>
          <w:numId w:val="3"/>
        </w:numPr>
        <w:spacing w:after="80"/>
      </w:pPr>
      <w:r>
        <w:rPr>
          <w:rFonts w:ascii="Arial" w:cs="Arial" w:eastAsia="Arial" w:hAnsi="Arial"/>
          <w:sz w:val="22"/>
          <w:szCs w:val="22"/>
        </w:rPr>
        <w:t xml:space="preserve">Search continues to work with both ordinal forms ("Tenth" and "10th" both match).</w:t>
      </w:r>
    </w:p>
    <w:p>
      <w:pPr>
        <w:pStyle w:val="ListParagraph"/>
        <w:numPr>
          <w:ilvl w:val="0"/>
          <w:numId w:val="3"/>
        </w:numPr>
        <w:spacing w:after="80"/>
      </w:pPr>
      <w:r>
        <w:rPr>
          <w:rFonts w:ascii="Arial" w:cs="Arial" w:eastAsia="Arial" w:hAnsi="Arial"/>
          <w:sz w:val="22"/>
          <w:szCs w:val="22"/>
        </w:rPr>
        <w:t xml:space="preserve">The change is backward-compatible: existing clean-data files don’t need regeneration.</w:t>
      </w:r>
    </w:p>
    <w:p>
      <w:pPr>
        <w:pStyle w:val="Heading2"/>
      </w:pPr>
      <w:r>
        <w:t xml:space="preserve">Canonical Format Specification</w:t>
      </w:r>
    </w:p>
    <w:p>
      <w:pPr>
        <w:spacing w:after="160"/>
      </w:pPr>
      <w:r>
        <w:t xml:space="preserve">Every display address will follow this pattern:</w:t>
      </w:r>
    </w:p>
    <w:p>
      <w:pPr>
        <w:shd w:fill="F5F5F7" w:val="clear"/>
        <w:spacing w:after="80"/>
        <w:ind w:left="240" w:right="240"/>
      </w:pPr>
      <w:r>
        <w:rPr>
          <w:rFonts w:ascii="Courier New" w:cs="Courier New" w:eastAsia="Courier New" w:hAnsi="Courier New"/>
          <w:sz w:val="18"/>
          <w:szCs w:val="18"/>
        </w:rPr>
        <w:t xml:space="preserve">[street_number] [street_name] [street_suffix] [street_direction][, suite_type suite_number]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Rule</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Example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Street number</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As-is; ranges kept hyphenated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732-746</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Street name</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Title Case; ordinals as words through 10th, numeric 11th+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Tenth, Fourth, 11th, 14th</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Street suffix</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Always expanded to full word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Street (not St), Avenue (not Ave)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Direction</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Always expanded to full word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West (not W), Northeast (not NE)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Suite/Unit</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Comma-separated, keyword + number</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 Suite 200 or , Unit 3B</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Saints</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Always "St." prefix</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St. Catharines (not Saint, not Street)</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French prefixes</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Preserved in correct position</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Rue Notre-Dame, Chemin du Lac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B" w:sz="1"/>
              <w:left w:val="single" w:color="2E7D5B" w:sz="12"/>
              <w:bottom w:val="single" w:color="2E7D5B" w:sz="1"/>
              <w:right w:val="single" w:color="2E7D5B" w:sz="1"/>
            </w:tcBorders>
            <w:shd w:fill="E6F5EE" w:val="clear"/>
            <w:tcMar>
              <w:top w:type="dxa" w:w="120"/>
              <w:left w:type="dxa" w:w="200"/>
              <w:bottom w:type="dxa" w:w="120"/>
              <w:right w:type="dxa" w:w="200"/>
            </w:tcMar>
          </w:tcPr>
          <w:p>
            <w:r>
              <w:rPr>
                <w:color w:val="2E7D5B"/>
                <w:sz w:val="20"/>
                <w:szCs w:val="20"/>
              </w:rPr>
              <w:t xml:space="preserve">Decision: Ordinal street names 1st–10th use word form (First through Tenth). 11th and above use numeric form (11th, 12th, etc.). This matches the majority of existing data: ~2,600 records already use word form for 1–10, and the ordinal dictionaries only cover that range. Extending the dictionaries to cover 11th–20th in word form would mean mapping ~500 records with little benefit.</w:t>
            </w:r>
          </w:p>
        </w:tc>
      </w:tr>
    </w:tbl>
    <w:p>
      <w:r>
        <w:br w:type="page"/>
      </w:r>
    </w:p>
    <w:p>
      <w:pPr>
        <w:pStyle w:val="Heading1"/>
      </w:pPr>
      <w:r>
        <w:t xml:space="preserve">3. Architecture</w:t>
      </w:r>
    </w:p>
    <w:p>
      <w:pPr>
        <w:pStyle w:val="Heading2"/>
      </w:pPr>
      <w:r>
        <w:t xml:space="preserve">New Shared Module</w:t>
      </w:r>
    </w:p>
    <w:p>
      <w:pPr>
        <w:spacing w:after="160"/>
      </w:pPr>
      <w:r>
        <w:rPr>
          <w:b/>
          <w:bCs/>
        </w:rPr>
        <w:t xml:space="preserve">Location: </w:t>
      </w:r>
      <w:r>
        <w:rPr>
          <w:rFonts w:ascii="Courier New" w:cs="Courier New" w:eastAsia="Courier New" w:hAnsi="Courier New"/>
          <w:sz w:val="20"/>
          <w:szCs w:val="20"/>
        </w:rPr>
        <w:t xml:space="preserve">cleo/address/</w:t>
      </w:r>
    </w:p>
    <w:p>
      <w:pPr>
        <w:spacing w:after="160"/>
      </w:pPr>
      <w:r>
        <w:t xml:space="preserve">A new top-level module under cleo/ that any pipeline or the compiler can import. This is intentionally NOT inside engines/ because it serves all sources and the compiler equally.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File</w:t>
            </w:r>
          </w:p>
        </w:tc>
        <w:tc>
          <w:tcPr>
            <w:tcW w:type="dxa" w:w="468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468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cleo/address/__init__.py</w:t>
            </w:r>
          </w:p>
        </w:tc>
        <w:tc>
          <w:tcPr>
            <w:tcW w:type="dxa" w:w="468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Public API: format_display(components) → str</w:t>
            </w:r>
          </w:p>
        </w:tc>
      </w:tr>
      <w:tr>
        <w:tc>
          <w:tcPr>
            <w:tcW w:type="dxa" w:w="468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cleo/address/formatter.py</w:t>
            </w:r>
          </w:p>
        </w:tc>
        <w:tc>
          <w:tcPr>
            <w:tcW w:type="dxa" w:w="468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Core formatting logic: assemble components into canonical display string</w:t>
            </w:r>
          </w:p>
        </w:tc>
      </w:tr>
      <w:tr>
        <w:tc>
          <w:tcPr>
            <w:tcW w:type="dxa" w:w="468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cleo/address/dictionaries.py</w:t>
            </w:r>
          </w:p>
        </w:tc>
        <w:tc>
          <w:tcPr>
            <w:tcW w:type="dxa" w:w="468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Moved from RT; shared suffix map, direction map, ordinal maps, saint names</w:t>
            </w:r>
          </w:p>
        </w:tc>
      </w:tr>
      <w:tr>
        <w:tc>
          <w:tcPr>
            <w:tcW w:type="dxa" w:w="468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cleo/address/decompose.py</w:t>
            </w:r>
          </w:p>
        </w:tc>
        <w:tc>
          <w:tcPr>
            <w:tcW w:type="dxa" w:w="468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Lightweight decomposer for raw strings (used by GW and OSM); delegates complex cases to RT’s full decomposer</w:t>
            </w:r>
          </w:p>
        </w:tc>
      </w:tr>
      <w:tr>
        <w:tc>
          <w:tcPr>
            <w:tcW w:type="dxa" w:w="468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cleo/address/normalize.py</w:t>
            </w:r>
          </w:p>
        </w:tc>
        <w:tc>
          <w:tcPr>
            <w:tcW w:type="dxa" w:w="468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Title case, suffix expansion, direction expansion, ordinal normalization</w:t>
            </w:r>
          </w:p>
        </w:tc>
      </w:tr>
    </w:tbl>
    <w:p>
      <w:pPr>
        <w:spacing w:after="120"/>
      </w:pPr>
    </w:p>
    <w:p>
      <w:pPr>
        <w:pStyle w:val="Heading2"/>
      </w:pPr>
      <w:r>
        <w:t xml:space="preserve">What Gets Moved vs. Copied</w:t>
      </w:r>
    </w:p>
    <w:p>
      <w:pPr>
        <w:spacing w:after="160"/>
      </w:pPr>
      <w:r>
        <w:t xml:space="preserve">The RT address normalizer has 17 dictionaries and a sophisticated 11-step decomposition pipeline. The plan is NOT to move all of that into the shared module. Instead:</w:t>
      </w:r>
    </w:p>
    <w:p>
      <w:pPr>
        <w:spacing w:after="120"/>
      </w:pPr>
    </w:p>
    <w:p>
      <w:pPr>
        <w:pStyle w:val="ListParagraph"/>
        <w:numPr>
          <w:ilvl w:val="0"/>
          <w:numId w:val="2"/>
        </w:numPr>
        <w:spacing w:after="80"/>
      </w:pPr>
      <w:r>
        <w:rPr>
          <w:rFonts w:ascii="Arial" w:cs="Arial" w:eastAsia="Arial" w:hAnsi="Arial"/>
          <w:sz w:val="22"/>
          <w:szCs w:val="22"/>
        </w:rPr>
        <w:t xml:space="preserve">Move the dictionaries (SUFFIX_MAP, DIRECTION_MAP, ORDINAL_WORD_TO_DIGIT, ORDINAL_DIGIT_TO_WORD, SAINT_NAMES, UPPERCASE_TOKENS) to cleo/address/dictionaries.py. RT’s dictionaries.py re-exports from the shared location for backward compatibility.</w:t>
      </w:r>
    </w:p>
    <w:p>
      <w:pPr>
        <w:pStyle w:val="ListParagraph"/>
        <w:numPr>
          <w:ilvl w:val="0"/>
          <w:numId w:val="2"/>
        </w:numPr>
        <w:spacing w:after="80"/>
      </w:pPr>
      <w:r>
        <w:rPr>
          <w:rFonts w:ascii="Arial" w:cs="Arial" w:eastAsia="Arial" w:hAnsi="Arial"/>
          <w:sz w:val="22"/>
          <w:szCs w:val="22"/>
        </w:rPr>
        <w:t xml:space="preserve">Move formatting functions (to_title_case, expand_suffix, expand_direction, protect_saints, restore_saints) to cleo/address/normalize.py. RT’s normalize.py re-exports.</w:t>
      </w:r>
    </w:p>
    <w:p>
      <w:pPr>
        <w:pStyle w:val="ListParagraph"/>
        <w:numPr>
          <w:ilvl w:val="0"/>
          <w:numId w:val="2"/>
        </w:numPr>
        <w:spacing w:after="80"/>
      </w:pPr>
      <w:r>
        <w:rPr>
          <w:rFonts w:ascii="Arial" w:cs="Arial" w:eastAsia="Arial" w:hAnsi="Arial"/>
          <w:sz w:val="22"/>
          <w:szCs w:val="22"/>
        </w:rPr>
        <w:t xml:space="preserve">Create a new format_display(components) function in cleo/address/formatter.py that takes structured components and returns a canonical string. This replaces RT’s _build_display() as the single source of truth for display assembly.</w:t>
      </w:r>
    </w:p>
    <w:p>
      <w:pPr>
        <w:pStyle w:val="ListParagraph"/>
        <w:numPr>
          <w:ilvl w:val="0"/>
          <w:numId w:val="2"/>
        </w:numPr>
        <w:spacing w:after="80"/>
      </w:pPr>
      <w:r>
        <w:rPr>
          <w:rFonts w:ascii="Arial" w:cs="Arial" w:eastAsia="Arial" w:hAnsi="Arial"/>
          <w:sz w:val="22"/>
          <w:szCs w:val="22"/>
        </w:rPr>
        <w:t xml:space="preserve">Create a lightweight decompose_simple(raw_address) function in cleo/address/decompose.py for GW and OSM strings that don’t need the full 11-step RT pipeline. It handles suffix expansion, direction expansion, and title casing. For complex patterns (units, ranges, saints, French addresses) it delegates to the full RT decomposer.</w:t>
      </w:r>
    </w:p>
    <w:p>
      <w:pPr>
        <w:pStyle w:val="ListParagraph"/>
        <w:numPr>
          <w:ilvl w:val="0"/>
          <w:numId w:val="2"/>
        </w:numPr>
        <w:spacing w:after="80"/>
      </w:pPr>
      <w:r>
        <w:rPr>
          <w:rFonts w:ascii="Arial" w:cs="Arial" w:eastAsia="Arial" w:hAnsi="Arial"/>
          <w:sz w:val="22"/>
          <w:szCs w:val="22"/>
        </w:rPr>
        <w:t xml:space="preserve">RT’s full decomposer (engines/rt/address_normalizer/decompose.py) stays in place. Its _build_display() call is replaced with a call to the shared format_display().</w:t>
      </w:r>
    </w:p>
    <w:p>
      <w:pPr>
        <w:spacing w:after="120"/>
      </w:pPr>
    </w:p>
    <w:p>
      <w:pPr>
        <w:pStyle w:val="Heading2"/>
      </w:pPr>
      <w:r>
        <w:t xml:space="preserve">Integration Points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Pipeline</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Current</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After</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RT normalize stage</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_build_display() in decompose.py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Calls cleo.address.format_display(components) instead</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GW normalize stage</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_title_case_street() with .title()</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Calls cleo.address.decompose_simple(raw_street) then format_display()</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OSM compiler pass</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Concatenates housenumber + street</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Calls cleo.address.decompose_simple(housenumber + street) then format_display()</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Compiler Pass 5 (GW enrichment)</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Overwrites display_address from GW clean-data</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Uses format_display() on GW components; only overwrites if RT had no address</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Search (FTS)</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LIKE pattern on display_address</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Separate improvement: switch to FTS5 MATCH queries</w:t>
            </w:r>
          </w:p>
        </w:tc>
      </w:tr>
    </w:tbl>
    <w:p>
      <w:r>
        <w:br w:type="page"/>
      </w:r>
    </w:p>
    <w:p>
      <w:pPr>
        <w:pStyle w:val="Heading1"/>
      </w:pPr>
      <w:r>
        <w:t xml:space="preserve">4. Implementation Steps</w:t>
      </w:r>
    </w:p>
    <w:p>
      <w:pPr>
        <w:pStyle w:val="Heading2"/>
      </w:pPr>
      <w:r>
        <w:t xml:space="preserve">Phase 1: Create the Shared Module</w:t>
      </w:r>
    </w:p>
    <w:p>
      <w:pPr>
        <w:spacing w:after="160"/>
      </w:pPr>
      <w:r>
        <w:t xml:space="preserve">Estimated effort: Medium. No pipeline changes yet; just establishing the shared code.</w:t>
      </w:r>
    </w:p>
    <w:p>
      <w:pPr>
        <w:spacing w:after="120"/>
      </w:pPr>
    </w:p>
    <w:p>
      <w:pPr>
        <w:pStyle w:val="ListParagraph"/>
        <w:numPr>
          <w:ilvl w:val="0"/>
          <w:numId w:val="4"/>
        </w:numPr>
        <w:spacing w:after="80"/>
      </w:pPr>
      <w:r>
        <w:rPr>
          <w:rFonts w:ascii="Arial" w:cs="Arial" w:eastAsia="Arial" w:hAnsi="Arial"/>
          <w:sz w:val="22"/>
          <w:szCs w:val="22"/>
        </w:rPr>
        <w:t xml:space="preserve">Create cleo/address/__init__.py, formatter.py, dictionaries.py, normalize.py, decompose.py.</w:t>
      </w:r>
    </w:p>
    <w:p>
      <w:pPr>
        <w:pStyle w:val="ListParagraph"/>
        <w:numPr>
          <w:ilvl w:val="0"/>
          <w:numId w:val="4"/>
        </w:numPr>
        <w:spacing w:after="80"/>
      </w:pPr>
      <w:r>
        <w:rPr>
          <w:rFonts w:ascii="Arial" w:cs="Arial" w:eastAsia="Arial" w:hAnsi="Arial"/>
          <w:sz w:val="22"/>
          <w:szCs w:val="22"/>
        </w:rPr>
        <w:t xml:space="preserve">Move SUFFIX_MAP, DIRECTION_MAP, ORDINAL_WORD_TO_DIGIT, ORDINAL_DIGIT_TO_WORD, SAINT_NAMES, UPPERCASE_TOKENS from engines/rt/address_normalizer/dictionaries.py to cleo/address/dictionaries.py.</w:t>
      </w:r>
    </w:p>
    <w:p>
      <w:pPr>
        <w:pStyle w:val="ListParagraph"/>
        <w:numPr>
          <w:ilvl w:val="0"/>
          <w:numId w:val="4"/>
        </w:numPr>
        <w:spacing w:after="80"/>
      </w:pPr>
      <w:r>
        <w:rPr>
          <w:rFonts w:ascii="Arial" w:cs="Arial" w:eastAsia="Arial" w:hAnsi="Arial"/>
          <w:sz w:val="22"/>
          <w:szCs w:val="22"/>
        </w:rPr>
        <w:t xml:space="preserve">Extend ORDINAL_WORD_TO_DIGIT to cover 11th–20th: { 'eleventh': '11th', 'twelfth': '12th', ... 'twentieth': '20th' }. These are common Ontario street names.</w:t>
      </w:r>
    </w:p>
    <w:p>
      <w:pPr>
        <w:pStyle w:val="ListParagraph"/>
        <w:numPr>
          <w:ilvl w:val="0"/>
          <w:numId w:val="4"/>
        </w:numPr>
        <w:spacing w:after="80"/>
      </w:pPr>
      <w:r>
        <w:rPr>
          <w:rFonts w:ascii="Arial" w:cs="Arial" w:eastAsia="Arial" w:hAnsi="Arial"/>
          <w:sz w:val="22"/>
          <w:szCs w:val="22"/>
        </w:rPr>
        <w:t xml:space="preserve">Update engines/rt/address_normalizer/dictionaries.py to re-import and re-export from cleo.address.dictionaries for backward compatibility.</w:t>
      </w:r>
    </w:p>
    <w:p>
      <w:pPr>
        <w:pStyle w:val="ListParagraph"/>
        <w:numPr>
          <w:ilvl w:val="0"/>
          <w:numId w:val="4"/>
        </w:numPr>
        <w:spacing w:after="80"/>
      </w:pPr>
      <w:r>
        <w:rPr>
          <w:rFonts w:ascii="Arial" w:cs="Arial" w:eastAsia="Arial" w:hAnsi="Arial"/>
          <w:sz w:val="22"/>
          <w:szCs w:val="22"/>
        </w:rPr>
        <w:t xml:space="preserve">Move to_title_case, expand_suffix, expand_direction, protect_saints, restore_saints to cleo/address/normalize.py. Update RT’s normalize.py to re-export.</w:t>
      </w:r>
    </w:p>
    <w:p>
      <w:pPr>
        <w:pStyle w:val="ListParagraph"/>
        <w:numPr>
          <w:ilvl w:val="0"/>
          <w:numId w:val="4"/>
        </w:numPr>
        <w:spacing w:after="80"/>
      </w:pPr>
      <w:r>
        <w:rPr>
          <w:rFonts w:ascii="Arial" w:cs="Arial" w:eastAsia="Arial" w:hAnsi="Arial"/>
          <w:sz w:val="22"/>
          <w:szCs w:val="22"/>
        </w:rPr>
        <w:t xml:space="preserve">Implement format_display(components) in cleo/address/formatter.py. This takes a dict with keys: street_number, street_name, street_suffix, street_direction, suite_type, suite_number. It applies ordinal normalization to street_name, then assembles the canonical display string.</w:t>
      </w:r>
    </w:p>
    <w:p>
      <w:pPr>
        <w:pStyle w:val="ListParagraph"/>
        <w:numPr>
          <w:ilvl w:val="0"/>
          <w:numId w:val="4"/>
        </w:numPr>
        <w:spacing w:after="80"/>
      </w:pPr>
      <w:r>
        <w:rPr>
          <w:rFonts w:ascii="Arial" w:cs="Arial" w:eastAsia="Arial" w:hAnsi="Arial"/>
          <w:sz w:val="22"/>
          <w:szCs w:val="22"/>
        </w:rPr>
        <w:t xml:space="preserve">Implement decompose_simple(raw_address) in cleo/address/decompose.py. This handles the common case: split into words, identify suffix, direction, street number, apply title case. For edge cases (units, saints, French, compound roads), delegate to the full RT decomposer.</w:t>
      </w:r>
    </w:p>
    <w:p>
      <w:pPr>
        <w:pStyle w:val="ListParagraph"/>
        <w:numPr>
          <w:ilvl w:val="0"/>
          <w:numId w:val="4"/>
        </w:numPr>
        <w:spacing w:after="80"/>
      </w:pPr>
      <w:r>
        <w:rPr>
          <w:rFonts w:ascii="Arial" w:cs="Arial" w:eastAsia="Arial" w:hAnsi="Arial"/>
          <w:sz w:val="22"/>
          <w:szCs w:val="22"/>
        </w:rPr>
        <w:t xml:space="preserve">Write unit tests for the shared module: test ordinal normalization, suffix expansion, direction expansion, title case edge cases, saint names, and display assembly.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200"/>
            </w:tcMar>
          </w:tcPr>
          <w:p>
            <w:r>
              <w:rPr>
                <w:color w:val="92400E"/>
                <w:sz w:val="20"/>
                <w:szCs w:val="20"/>
              </w:rPr>
              <w:t xml:space="preserve">Critical: The dictionaries move must be done carefully. RT’s existing code imports from .dictionaries (relative). The re-export pattern ensures no RT code needs to change in Phase 1.</w:t>
            </w:r>
          </w:p>
        </w:tc>
      </w:tr>
    </w:tbl>
    <w:p>
      <w:pPr>
        <w:spacing w:after="120"/>
      </w:pPr>
    </w:p>
    <w:p>
      <w:pPr>
        <w:pStyle w:val="Heading2"/>
      </w:pPr>
      <w:r>
        <w:t xml:space="preserve">Phase 2: Integrate with RT Pipeline</w:t>
      </w:r>
    </w:p>
    <w:p>
      <w:pPr>
        <w:spacing w:after="160"/>
      </w:pPr>
      <w:r>
        <w:t xml:space="preserve">Estimated effort: Small. RT already produces structured components; we just swap the display assembly.</w:t>
      </w:r>
    </w:p>
    <w:p>
      <w:pPr>
        <w:spacing w:after="120"/>
      </w:pPr>
    </w:p>
    <w:p>
      <w:pPr>
        <w:pStyle w:val="ListParagraph"/>
        <w:numPr>
          <w:ilvl w:val="0"/>
          <w:numId w:val="5"/>
        </w:numPr>
        <w:spacing w:after="80"/>
      </w:pPr>
      <w:r>
        <w:rPr>
          <w:rFonts w:ascii="Arial" w:cs="Arial" w:eastAsia="Arial" w:hAnsi="Arial"/>
          <w:sz w:val="22"/>
          <w:szCs w:val="22"/>
        </w:rPr>
        <w:t xml:space="preserve">In engines/rt/address_normalizer/decompose.py, replace the call to _build_display(result) with cleo.address.format_display(result). Keep _build_display() as a deprecated wrapper that calls the shared function.</w:t>
      </w:r>
    </w:p>
    <w:p>
      <w:pPr>
        <w:pStyle w:val="ListParagraph"/>
        <w:numPr>
          <w:ilvl w:val="0"/>
          <w:numId w:val="5"/>
        </w:numPr>
        <w:spacing w:after="80"/>
      </w:pPr>
      <w:r>
        <w:rPr>
          <w:rFonts w:ascii="Arial" w:cs="Arial" w:eastAsia="Arial" w:hAnsi="Arial"/>
          <w:sz w:val="22"/>
          <w:szCs w:val="22"/>
        </w:rPr>
        <w:t xml:space="preserve">The key change: format_display() applies ordinal normalization to street_name. If street_name is "10th" and it’s in the ordinal range (1st–10th), convert to word form ("Tenth"). If it’s 11th+ and in word form ("Eleventh"), convert to numeric ("11th"). This is the logic that’s been missing.</w:t>
      </w:r>
    </w:p>
    <w:p>
      <w:pPr>
        <w:pStyle w:val="ListParagraph"/>
        <w:numPr>
          <w:ilvl w:val="0"/>
          <w:numId w:val="5"/>
        </w:numPr>
        <w:spacing w:after="80"/>
      </w:pPr>
      <w:r>
        <w:rPr>
          <w:rFonts w:ascii="Arial" w:cs="Arial" w:eastAsia="Arial" w:hAnsi="Arial"/>
          <w:sz w:val="22"/>
          <w:szCs w:val="22"/>
        </w:rPr>
        <w:t xml:space="preserve">Run the RT normalizer on a sample of records and verify display output matches the canonical spec.</w:t>
      </w:r>
    </w:p>
    <w:p>
      <w:pPr>
        <w:pStyle w:val="ListParagraph"/>
        <w:numPr>
          <w:ilvl w:val="0"/>
          <w:numId w:val="5"/>
        </w:numPr>
        <w:spacing w:after="80"/>
      </w:pPr>
      <w:r>
        <w:rPr>
          <w:rFonts w:ascii="Arial" w:cs="Arial" w:eastAsia="Arial" w:hAnsi="Arial"/>
          <w:sz w:val="22"/>
          <w:szCs w:val="22"/>
        </w:rPr>
        <w:t xml:space="preserve">Run full RT pipeline on test data: process.py --from normalize --skip resolve. Verify clean-data output.</w:t>
      </w:r>
    </w:p>
    <w:p>
      <w:pPr>
        <w:spacing w:after="120"/>
      </w:pPr>
    </w:p>
    <w:p>
      <w:pPr>
        <w:pStyle w:val="Heading2"/>
      </w:pPr>
      <w:r>
        <w:t xml:space="preserve">Phase 3: Integrate with GW Pipeline</w:t>
      </w:r>
    </w:p>
    <w:p>
      <w:pPr>
        <w:spacing w:after="160"/>
      </w:pPr>
      <w:r>
        <w:t xml:space="preserve">Estimated effort: Medium. GW’s normalizer needs structural changes to produce components rather than a formatted string.</w:t>
      </w:r>
    </w:p>
    <w:p>
      <w:pPr>
        <w:spacing w:after="120"/>
      </w:pPr>
    </w:p>
    <w:p>
      <w:pPr>
        <w:pStyle w:val="ListParagraph"/>
        <w:numPr>
          <w:ilvl w:val="0"/>
          <w:numId w:val="6"/>
        </w:numPr>
        <w:spacing w:after="80"/>
      </w:pPr>
      <w:r>
        <w:rPr>
          <w:rFonts w:ascii="Arial" w:cs="Arial" w:eastAsia="Arial" w:hAnsi="Arial"/>
          <w:sz w:val="22"/>
          <w:szCs w:val="22"/>
        </w:rPr>
        <w:t xml:space="preserve">In engines/gw/normalize.py, replace _title_case_street() with a new function that calls cleo.address.decompose_simple(raw_street) and returns structured components (street_number, street_name, street_suffix, street_direction).</w:t>
      </w:r>
    </w:p>
    <w:p>
      <w:pPr>
        <w:pStyle w:val="ListParagraph"/>
        <w:numPr>
          <w:ilvl w:val="0"/>
          <w:numId w:val="6"/>
        </w:numPr>
        <w:spacing w:after="80"/>
      </w:pPr>
      <w:r>
        <w:rPr>
          <w:rFonts w:ascii="Arial" w:cs="Arial" w:eastAsia="Arial" w:hAnsi="Arial"/>
          <w:sz w:val="22"/>
          <w:szCs w:val="22"/>
        </w:rPr>
        <w:t xml:space="preserve">Update parse_mpac_address() to return components alongside the display string. The display string is now produced by cleo.address.format_display(components).</w:t>
      </w:r>
    </w:p>
    <w:p>
      <w:pPr>
        <w:pStyle w:val="ListParagraph"/>
        <w:numPr>
          <w:ilvl w:val="0"/>
          <w:numId w:val="6"/>
        </w:numPr>
        <w:spacing w:after="80"/>
      </w:pPr>
      <w:r>
        <w:rPr>
          <w:rFonts w:ascii="Arial" w:cs="Arial" w:eastAsia="Arial" w:hAnsi="Arial"/>
          <w:sz w:val="22"/>
          <w:szCs w:val="22"/>
        </w:rPr>
        <w:t xml:space="preserve">Update the GW clean-data output (compile.py) to include the structured components in the property object, similar to how RT stores them. The display_address field becomes the output of format_display().</w:t>
      </w:r>
    </w:p>
    <w:p>
      <w:pPr>
        <w:pStyle w:val="ListParagraph"/>
        <w:numPr>
          <w:ilvl w:val="0"/>
          <w:numId w:val="6"/>
        </w:numPr>
        <w:spacing w:after="80"/>
      </w:pPr>
      <w:r>
        <w:rPr>
          <w:rFonts w:ascii="Arial" w:cs="Arial" w:eastAsia="Arial" w:hAnsi="Arial"/>
          <w:sz w:val="22"/>
          <w:szCs w:val="22"/>
        </w:rPr>
        <w:t xml:space="preserve">Handle GW-specific edge cases: MPAC addresses can include unit numbers inline (e.g., "UNIT 5 100 MAIN ST"). The decompose_simple() function needs to detect leading unit patterns.</w:t>
      </w:r>
    </w:p>
    <w:p>
      <w:pPr>
        <w:pStyle w:val="ListParagraph"/>
        <w:numPr>
          <w:ilvl w:val="0"/>
          <w:numId w:val="6"/>
        </w:numPr>
        <w:spacing w:after="80"/>
      </w:pPr>
      <w:r>
        <w:rPr>
          <w:rFonts w:ascii="Arial" w:cs="Arial" w:eastAsia="Arial" w:hAnsi="Arial"/>
          <w:sz w:val="22"/>
          <w:szCs w:val="22"/>
        </w:rPr>
        <w:t xml:space="preserve">Re-run the GW pipeline on existing data and verify output. Compare before/after for a sample of records.</w:t>
      </w:r>
    </w:p>
    <w:p>
      <w:pPr>
        <w:spacing w:after="120"/>
      </w:pPr>
    </w:p>
    <w:p>
      <w:pPr>
        <w:pStyle w:val="Heading2"/>
      </w:pPr>
      <w:r>
        <w:t xml:space="preserve">Phase 4: Integrate with OSM and Compiler</w:t>
      </w:r>
    </w:p>
    <w:p>
      <w:pPr>
        <w:spacing w:after="160"/>
      </w:pPr>
      <w:r>
        <w:t xml:space="preserve">Estimated effort: Small to Medium. OSM already has structured components; compiler needs priority logic.</w:t>
      </w:r>
    </w:p>
    <w:p>
      <w:pPr>
        <w:spacing w:after="120"/>
      </w:pPr>
    </w:p>
    <w:p>
      <w:pPr>
        <w:pStyle w:val="ListParagraph"/>
        <w:numPr>
          <w:ilvl w:val="0"/>
          <w:numId w:val="7"/>
        </w:numPr>
        <w:spacing w:after="80"/>
      </w:pPr>
      <w:r>
        <w:rPr>
          <w:rFonts w:ascii="Arial" w:cs="Arial" w:eastAsia="Arial" w:hAnsi="Arial"/>
          <w:sz w:val="22"/>
          <w:szCs w:val="22"/>
        </w:rPr>
        <w:t xml:space="preserve">In the compiler writer (Pass 4, OSM properties): instead of concatenating housenumber + street, call cleo.address.decompose_simple(housenumber + ' ' + street) then format_display(). This normalizes OSM addresses on the way into the database.</w:t>
      </w:r>
    </w:p>
    <w:p>
      <w:pPr>
        <w:pStyle w:val="ListParagraph"/>
        <w:numPr>
          <w:ilvl w:val="0"/>
          <w:numId w:val="7"/>
        </w:numPr>
        <w:spacing w:after="80"/>
      </w:pPr>
      <w:r>
        <w:rPr>
          <w:rFonts w:ascii="Arial" w:cs="Arial" w:eastAsia="Arial" w:hAnsi="Arial"/>
          <w:sz w:val="22"/>
          <w:szCs w:val="22"/>
        </w:rPr>
        <w:t xml:space="preserve">In the compiler writer (Pass 5, GW enrichment): change the display_address overwrite logic. Instead of unconditionally replacing RT’s display_address with GW’s, apply priority rules: if the RT address and GW address resolve to the same canonical form, keep whichever is already there. If they differ, prefer the one with more complete components (e.g., the one that has a suite number when the other doesn’t).</w:t>
      </w:r>
    </w:p>
    <w:p>
      <w:pPr>
        <w:pStyle w:val="ListParagraph"/>
        <w:numPr>
          <w:ilvl w:val="0"/>
          <w:numId w:val="7"/>
        </w:numPr>
        <w:spacing w:after="80"/>
      </w:pPr>
      <w:r>
        <w:rPr>
          <w:rFonts w:ascii="Arial" w:cs="Arial" w:eastAsia="Arial" w:hAnsi="Arial"/>
          <w:sz w:val="22"/>
          <w:szCs w:val="22"/>
        </w:rPr>
        <w:t xml:space="preserve">For GW-only properties (Pass 5, new property creation): the GW display_address is already formatted via Phase 3, so no additional work needed.</w:t>
      </w:r>
    </w:p>
    <w:p>
      <w:pPr>
        <w:pStyle w:val="ListParagraph"/>
        <w:numPr>
          <w:ilvl w:val="0"/>
          <w:numId w:val="7"/>
        </w:numPr>
        <w:spacing w:after="80"/>
      </w:pPr>
      <w:r>
        <w:rPr>
          <w:rFonts w:ascii="Arial" w:cs="Arial" w:eastAsia="Arial" w:hAnsi="Arial"/>
          <w:sz w:val="22"/>
          <w:szCs w:val="22"/>
        </w:rPr>
        <w:t xml:space="preserve">Add format_display() call in the compiler’s property insertion and POI insertion paths as a safety net, ensuring every address that enters the database goes through the shared formatter.</w:t>
      </w:r>
    </w:p>
    <w:p>
      <w:pPr>
        <w:pStyle w:val="ListParagraph"/>
        <w:numPr>
          <w:ilvl w:val="0"/>
          <w:numId w:val="7"/>
        </w:numPr>
        <w:spacing w:after="80"/>
      </w:pPr>
      <w:r>
        <w:rPr>
          <w:rFonts w:ascii="Arial" w:cs="Arial" w:eastAsia="Arial" w:hAnsi="Arial"/>
          <w:sz w:val="22"/>
          <w:szCs w:val="22"/>
        </w:rPr>
        <w:t xml:space="preserve">Re-run the full compiler and verify all 86,884 properties have consistent address formatting.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B" w:sz="1"/>
              <w:left w:val="single" w:color="2E7D5B" w:sz="12"/>
              <w:bottom w:val="single" w:color="2E7D5B" w:sz="1"/>
              <w:right w:val="single" w:color="2E7D5B" w:sz="1"/>
            </w:tcBorders>
            <w:shd w:fill="E6F5EE" w:val="clear"/>
            <w:tcMar>
              <w:top w:type="dxa" w:w="120"/>
              <w:left w:type="dxa" w:w="200"/>
              <w:bottom w:type="dxa" w:w="120"/>
              <w:right w:type="dxa" w:w="200"/>
            </w:tcMar>
          </w:tcPr>
          <w:p>
            <w:r>
              <w:rPr>
                <w:color w:val="2E7D5B"/>
                <w:sz w:val="20"/>
                <w:szCs w:val="20"/>
              </w:rPr>
              <w:t xml:space="preserve">The compiler change in step 2 above is the most important single change in this plan. It eliminates the “last writer wins” problem where GW overwrites RT’s better-formatted address. With both pipelines using the same formatter, the display_address should be identical regardless of source, making the priority question moot for most cases.</w:t>
            </w:r>
          </w:p>
        </w:tc>
      </w:tr>
    </w:tbl>
    <w:p>
      <w:r>
        <w:br w:type="page"/>
      </w:r>
    </w:p>
    <w:p>
      <w:pPr>
        <w:pStyle w:val="Heading1"/>
      </w:pPr>
      <w:r>
        <w:t xml:space="preserve">5. Detailed Formatting Rules</w:t>
      </w:r>
    </w:p>
    <w:p>
      <w:pPr>
        <w:pStyle w:val="Heading2"/>
      </w:pPr>
      <w:r>
        <w:t xml:space="preserve">Ordinal Street Names</w:t>
      </w:r>
    </w:p>
    <w:p>
      <w:pPr>
        <w:spacing w:after="160"/>
      </w:pPr>
      <w:r>
        <w:t xml:space="preserve">This is the most visible inconsistency and needs explicit rules: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Input (any source)</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Output</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Rule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FIRST, first, 1st, 1ST</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First</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Word form for 1st–10th</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SECOND, second, 2nd, 2ND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Second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Word form for 1st–10th</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TENTH, tenth, 10th, 10TH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Tenth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Word form for 1st–10th</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ELEVENTH, eleventh, 11th, 11TH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11th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Numeric form for 11th+</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TWELFTH, twelfth, 12th, 12TH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12th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Numeric form for 11th+</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FOURTEENTH, fourteenth, 14th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14th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Numeric form for 11th+</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TWENTIETH, twentieth, 20th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20th</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Numeric form for 11th+</w:t>
            </w:r>
          </w:p>
        </w:tc>
      </w:tr>
    </w:tbl>
    <w:p>
      <w:pPr>
        <w:spacing w:after="120"/>
      </w:pPr>
    </w:p>
    <w:p>
      <w:pPr>
        <w:spacing w:after="160"/>
      </w:pPr>
      <w:r>
        <w:t xml:space="preserve">Implementation in format_display(): after title-casing the street_name, check if it matches an ordinal pattern. If it’s a word ordinal ("Tenth") in the 1–10 range, keep as word. If it’s a numeric ordinal ("10th") in the 1–10 range, convert to word. If it’s a word ordinal in the 11+ range ("Eleventh"), convert to numeric. If it’s numeric in the 11+ range, ensure proper lowercase suffix ("11th" not "11Th").</w:t>
      </w:r>
    </w:p>
    <w:p>
      <w:pPr>
        <w:pStyle w:val="Heading2"/>
      </w:pPr>
      <w:r>
        <w:t xml:space="preserve">Title Case Rules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Input</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Output</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Rule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KING</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King</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All-caps → capitalize first letter</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mcgregor</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Mcgregor</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All-lowercase → capitalize first</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McGregor</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McGregor</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Mixed case → preserve as-is</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PO</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PO</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Uppercase token → keep uppercase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RR</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RR</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Uppercase token → keep uppercase</w:t>
            </w:r>
          </w:p>
        </w:tc>
      </w:tr>
    </w:tbl>
    <w:p>
      <w:pPr>
        <w:spacing w:after="120"/>
      </w:pPr>
    </w:p>
    <w:p>
      <w:pPr>
        <w:pStyle w:val="Heading2"/>
      </w:pPr>
      <w:r>
        <w:t xml:space="preserve">Street Suffix Expansion</w:t>
      </w:r>
    </w:p>
    <w:p>
      <w:pPr>
        <w:spacing w:after="160"/>
      </w:pPr>
      <w:r>
        <w:t xml:space="preserve">All suffixes expand to their full form. The shared SUFFIX_MAP will have 65+ entries (RT’s current set), covering English suffixes (Street, Avenue, Road, Drive, Boulevard, Crescent, Court, Place, Lane, Line, Highway, Parkway, Circle, Gate, Trail, Walk, Grove, Terrace, Close, Path, Run, Rise, Glen, Park, Square, Green, Quay, Landing, Manor, Route, Concession, Sideroad, Queensway, Donway, Esplanade) and French suffixes (Rue, Boulevard, Chemin, Promenade, Autoroute, Montée, Côte). GW’s current 18-entry map will be replaced with the full shared map.</w:t>
      </w:r>
    </w:p>
    <w:p>
      <w:pPr>
        <w:pStyle w:val="Heading2"/>
      </w:pPr>
      <w:r>
        <w:t xml:space="preserve">Direction Expansion</w:t>
      </w:r>
    </w:p>
    <w:p>
      <w:pPr>
        <w:spacing w:after="160"/>
      </w:pPr>
      <w:r>
        <w:t xml:space="preserve">All directions expand to full words. "E" becomes "East", "NW" becomes "Northwest". This changes GW’s current behavior of keeping single-letter codes, which means existing GW addresses like "223 Clark Road E" will become "223 Clark Road East". This is intentional — consistency requires a single format, and the full word form is more readable and matches the majority of existing data (13,200 records use full words vs 175 using single letters).</w:t>
      </w:r>
    </w:p>
    <w:p>
      <w:pPr>
        <w:pStyle w:val="Heading2"/>
      </w:pPr>
      <w:r>
        <w:t xml:space="preserve">Saint Name Protection</w:t>
      </w:r>
    </w:p>
    <w:p>
      <w:pPr>
        <w:spacing w:after="160"/>
      </w:pPr>
      <w:r>
        <w:t xml:space="preserve">The protect/restore pattern from RT will be applied in the shared module. Any address containing "St" before a known saint name (Catharines, Thomas, Johns, Marys, etc.) will be displayed as "St." followed by the name, never "Street". The saint names list has 30 entries covering all Ontario municipalities with saint-based names.</w:t>
      </w:r>
    </w:p>
    <w:p>
      <w:r>
        <w:br w:type="page"/>
      </w:r>
    </w:p>
    <w:p>
      <w:pPr>
        <w:pStyle w:val="Heading1"/>
      </w:pPr>
      <w:r>
        <w:t xml:space="preserve">6. GW-Specific Handling</w:t>
      </w:r>
    </w:p>
    <w:p>
      <w:pPr>
        <w:spacing w:after="160"/>
      </w:pPr>
      <w:r>
        <w:t xml:space="preserve">The GW normalizer needs the most significant changes because its current approach is fundamentally different from RT’s. Here’s what changes and what stays:</w:t>
      </w:r>
    </w:p>
    <w:p>
      <w:pPr>
        <w:pStyle w:val="Heading2"/>
      </w:pPr>
      <w:r>
        <w:t xml:space="preserve">What Changes</w:t>
      </w:r>
    </w:p>
    <w:p>
      <w:pPr>
        <w:spacing w:after="120"/>
      </w:pPr>
    </w:p>
    <w:p>
      <w:pPr>
        <w:pStyle w:val="ListParagraph"/>
        <w:numPr>
          <w:ilvl w:val="0"/>
          <w:numId w:val="2"/>
        </w:numPr>
        <w:spacing w:after="80"/>
      </w:pPr>
      <w:r>
        <w:rPr>
          <w:rFonts w:ascii="Arial" w:cs="Arial" w:eastAsia="Arial" w:hAnsi="Arial"/>
          <w:sz w:val="22"/>
          <w:szCs w:val="22"/>
        </w:rPr>
        <w:t xml:space="preserve">Replace _title_case_street() with a call to the shared decomposer + formatter. The function currently applies .title() (which produces "10Th"), expands 18 suffixes, and preserves single-letter directions. All of this is replaced by the shared module’s more comprehensive logic.</w:t>
      </w:r>
    </w:p>
    <w:p>
      <w:pPr>
        <w:pStyle w:val="ListParagraph"/>
        <w:numPr>
          <w:ilvl w:val="0"/>
          <w:numId w:val="2"/>
        </w:numPr>
        <w:spacing w:after="80"/>
      </w:pPr>
      <w:r>
        <w:rPr>
          <w:rFonts w:ascii="Arial" w:cs="Arial" w:eastAsia="Arial" w:hAnsi="Arial"/>
          <w:sz w:val="22"/>
          <w:szCs w:val="22"/>
        </w:rPr>
        <w:t xml:space="preserve">Replace the STREET_SUFFIXES dictionary (18 entries) with the shared SUFFIX_MAP (65+ entries). This means GW will correctly handle Close, Path, Square, Landing, Manor, Sideroad, and other suffixes it currently misses.</w:t>
      </w:r>
    </w:p>
    <w:p>
      <w:pPr>
        <w:pStyle w:val="ListParagraph"/>
        <w:numPr>
          <w:ilvl w:val="0"/>
          <w:numId w:val="2"/>
        </w:numPr>
        <w:spacing w:after="80"/>
      </w:pPr>
      <w:r>
        <w:rPr>
          <w:rFonts w:ascii="Arial" w:cs="Arial" w:eastAsia="Arial" w:hAnsi="Arial"/>
          <w:sz w:val="22"/>
          <w:szCs w:val="22"/>
        </w:rPr>
        <w:t xml:space="preserve">Replace the DIRECTIONS dictionary with the shared DIRECTION_MAP. Single-letter directions (E, W, N, S) will now expand to full words (East, West, North, South). Diagonal directions (NE, NW, SE, SW) will be supported for the first time.</w:t>
      </w:r>
    </w:p>
    <w:p>
      <w:pPr>
        <w:pStyle w:val="ListParagraph"/>
        <w:numPr>
          <w:ilvl w:val="0"/>
          <w:numId w:val="2"/>
        </w:numPr>
        <w:spacing w:after="80"/>
      </w:pPr>
      <w:r>
        <w:rPr>
          <w:rFonts w:ascii="Arial" w:cs="Arial" w:eastAsia="Arial" w:hAnsi="Arial"/>
          <w:sz w:val="22"/>
          <w:szCs w:val="22"/>
        </w:rPr>
        <w:t xml:space="preserve">Add saint name protection. GW currently has no saint handling, which means "ST CATHARINES" would become "St Catharines" (missing period) or potentially "Street Catharines" in edge cases.</w:t>
      </w:r>
    </w:p>
    <w:p>
      <w:pPr>
        <w:pStyle w:val="Heading2"/>
      </w:pPr>
      <w:r>
        <w:t xml:space="preserve">What Stays</w:t>
      </w:r>
    </w:p>
    <w:p>
      <w:pPr>
        <w:spacing w:after="120"/>
      </w:pPr>
    </w:p>
    <w:p>
      <w:pPr>
        <w:pStyle w:val="ListParagraph"/>
        <w:numPr>
          <w:ilvl w:val="0"/>
          <w:numId w:val="2"/>
        </w:numPr>
        <w:spacing w:after="80"/>
      </w:pPr>
      <w:r>
        <w:rPr>
          <w:rFonts w:ascii="Arial" w:cs="Arial" w:eastAsia="Arial" w:hAnsi="Arial"/>
          <w:sz w:val="22"/>
          <w:szCs w:val="22"/>
        </w:rPr>
        <w:t xml:space="preserve">The MPAC address parsing logic (postal code extraction, province stripping, municipality-based street/city split) stays in engines/gw/normalize.py. This is source-specific parsing, not formatting.</w:t>
      </w:r>
    </w:p>
    <w:p>
      <w:pPr>
        <w:pStyle w:val="ListParagraph"/>
        <w:numPr>
          <w:ilvl w:val="0"/>
          <w:numId w:val="2"/>
        </w:numPr>
        <w:spacing w:after="80"/>
      </w:pPr>
      <w:r>
        <w:rPr>
          <w:rFonts w:ascii="Arial" w:cs="Arial" w:eastAsia="Arial" w:hAnsi="Arial"/>
          <w:sz w:val="22"/>
          <w:szCs w:val="22"/>
        </w:rPr>
        <w:t xml:space="preserve">The fallback to summary address when MPAC data is unavailable stays as-is.</w:t>
      </w:r>
    </w:p>
    <w:p>
      <w:pPr>
        <w:pStyle w:val="ListParagraph"/>
        <w:numPr>
          <w:ilvl w:val="0"/>
          <w:numId w:val="2"/>
        </w:numPr>
        <w:spacing w:after="80"/>
      </w:pPr>
      <w:r>
        <w:rPr>
          <w:rFonts w:ascii="Arial" w:cs="Arial" w:eastAsia="Arial" w:hAnsi="Arial"/>
          <w:sz w:val="22"/>
          <w:szCs w:val="22"/>
        </w:rPr>
        <w:t xml:space="preserve">The GW compile stage structure stays the same — it just receives better-formatted values from the normalizer.</w:t>
      </w:r>
    </w:p>
    <w:p>
      <w:pPr>
        <w:pStyle w:val="Heading2"/>
      </w:pPr>
      <w:r>
        <w:t xml:space="preserve">Edge Cases to Handle</w:t>
      </w:r>
    </w:p>
    <w:p>
      <w:pPr>
        <w:spacing w:after="120"/>
      </w:pPr>
    </w:p>
    <w:p>
      <w:pPr>
        <w:pStyle w:val="ListParagraph"/>
        <w:numPr>
          <w:ilvl w:val="0"/>
          <w:numId w:val="2"/>
        </w:numPr>
        <w:spacing w:after="80"/>
      </w:pPr>
      <w:r>
        <w:rPr>
          <w:rFonts w:ascii="Arial" w:cs="Arial" w:eastAsia="Arial" w:hAnsi="Arial"/>
          <w:sz w:val="22"/>
          <w:szCs w:val="22"/>
        </w:rPr>
        <w:t xml:space="preserve">Municipality names appearing in the street address: The rfind() anchor logic can truncate addresses where the city name appears mid-street (e.g., "100 LONDON ST" in London). The decompose_simple() function should handle this more gracefully by decomposing the full string and inferring city separately.</w:t>
      </w:r>
    </w:p>
    <w:p>
      <w:pPr>
        <w:pStyle w:val="ListParagraph"/>
        <w:numPr>
          <w:ilvl w:val="0"/>
          <w:numId w:val="2"/>
        </w:numPr>
        <w:spacing w:after="80"/>
      </w:pPr>
      <w:r>
        <w:rPr>
          <w:rFonts w:ascii="Arial" w:cs="Arial" w:eastAsia="Arial" w:hAnsi="Arial"/>
          <w:sz w:val="22"/>
          <w:szCs w:val="22"/>
        </w:rPr>
        <w:t xml:space="preserve">Compound road names: GW has no protection for "COUNTY ROAD 93" being split into suffix="Road". The shared decomposer inherits RT’s compound road guard.</w:t>
      </w:r>
    </w:p>
    <w:p>
      <w:pPr>
        <w:pStyle w:val="ListParagraph"/>
        <w:numPr>
          <w:ilvl w:val="0"/>
          <w:numId w:val="2"/>
        </w:numPr>
        <w:spacing w:after="80"/>
      </w:pPr>
      <w:r>
        <w:rPr>
          <w:rFonts w:ascii="Arial" w:cs="Arial" w:eastAsia="Arial" w:hAnsi="Arial"/>
          <w:sz w:val="22"/>
          <w:szCs w:val="22"/>
        </w:rPr>
        <w:t xml:space="preserve">Unit numbers in MPAC addresses: Some MPAC addresses include unit prefixes ("UNIT 5 100 MAIN ST"). The shared decomposer’s unit extraction logic handles this.</w:t>
      </w:r>
    </w:p>
    <w:p>
      <w:r>
        <w:br w:type="page"/>
      </w:r>
    </w:p>
    <w:p>
      <w:pPr>
        <w:pStyle w:val="Heading1"/>
      </w:pPr>
      <w:r>
        <w:t xml:space="preserve">7. Compiler Display Priority Logic</w:t>
      </w:r>
    </w:p>
    <w:p>
      <w:pPr>
        <w:spacing w:after="160"/>
      </w:pPr>
      <w:r>
        <w:t xml:space="preserve">Currently, the compiler’s Pass 5 unconditionally overwrites display_address, city, postal, and current_owner_name with GW values. The proposed change separates formatting from priority:</w:t>
      </w:r>
    </w:p>
    <w:p>
      <w:pPr>
        <w:pStyle w:val="Heading2"/>
      </w:pPr>
      <w:r>
        <w:t xml:space="preserve">After This Change</w:t>
      </w:r>
    </w:p>
    <w:p>
      <w:pPr>
        <w:spacing w:after="160"/>
      </w:pPr>
      <w:r>
        <w:t xml:space="preserve">Because both RT and GW now use the same formatter, their display_address values should be identical for the same physical address. The overwrite becomes a no-op in most cases. For the remaining cases where addresses genuinely differ (different unit numbers, different address for the same parcel), apply these rules: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Field</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Priority</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Rationale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display_address</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Keep existing (RT) unless empty; GW fills gaps only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RT addresses are richer (units, ranges); GW should enrich, not replace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city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GW preferred (more current)</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GW city comes from MPAC municipal data</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postal</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GW preferred (MPAC is authoritative)</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MPAC postal codes are the canonical source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current_owner_name</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GW preferred (more current)</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GW reflects current registered ownership</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gw_municipality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GW only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Only available from GW</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lat/lng</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COALESCE (keep existing if present)</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Already implemented correctly</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parcel_geojson</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COALESCE (keep existing if present)</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Already implemented correctly</w:t>
            </w:r>
          </w:p>
        </w:tc>
      </w:tr>
    </w:tbl>
    <w:p>
      <w:pPr>
        <w:spacing w:after="120"/>
      </w:pPr>
    </w:p>
    <w:p>
      <w:pPr>
        <w:spacing w:after="160"/>
      </w:pPr>
      <w:r>
        <w:t xml:space="preserve">The key change is line 920–923 of writer.py: the unconditional display_address UPDATE becomes conditional, only applying when the property has no existing display_address.</w:t>
      </w:r>
    </w:p>
    <w:p>
      <w:r>
        <w:br w:type="page"/>
      </w:r>
    </w:p>
    <w:p>
      <w:pPr>
        <w:pStyle w:val="Heading1"/>
      </w:pPr>
      <w:r>
        <w:t xml:space="preserve">8. Related: Search Improvement</w:t>
      </w:r>
    </w:p>
    <w:p>
      <w:pPr>
        <w:spacing w:after="160"/>
      </w:pPr>
      <w:r>
        <w:t xml:space="preserve">This plan focuses on formatting consistency, but the original issue that surfaced this problem was a failed search for "732 10th St" that didn’t match the stored address "732-746 10Th Street". With consistent formatting, the stored address will become "732-746 Tenth Street", which still won’t match a LIKE search for "732 10th St".</w:t>
      </w:r>
    </w:p>
    <w:p>
      <w:pPr>
        <w:spacing w:after="160"/>
      </w:pPr>
      <w:r>
        <w:t xml:space="preserve">The proper fix is to switch the properties browse endpoint from LIKE patterns to FTS5 MATCH queries. The FTS table (properties_fts) already exists in the schema and is populated; the fts_query() helper is already imported in the route file but never called. This is a straightforward change:</w:t>
      </w:r>
    </w:p>
    <w:p>
      <w:pPr>
        <w:spacing w:after="120"/>
      </w:pPr>
    </w:p>
    <w:p>
      <w:pPr>
        <w:pStyle w:val="ListParagraph"/>
        <w:numPr>
          <w:ilvl w:val="0"/>
          <w:numId w:val="2"/>
        </w:numPr>
        <w:spacing w:after="80"/>
      </w:pPr>
      <w:r>
        <w:rPr>
          <w:rFonts w:ascii="Arial" w:cs="Arial" w:eastAsia="Arial" w:hAnsi="Arial"/>
          <w:sz w:val="22"/>
          <w:szCs w:val="22"/>
        </w:rPr>
        <w:t xml:space="preserve">Replace the LIKE condition in the browse endpoint (properties.py lines 73–76) with an FTS5 MATCH query against properties_fts.</w:t>
      </w:r>
    </w:p>
    <w:p>
      <w:pPr>
        <w:pStyle w:val="ListParagraph"/>
        <w:numPr>
          <w:ilvl w:val="0"/>
          <w:numId w:val="2"/>
        </w:numPr>
        <w:spacing w:after="80"/>
      </w:pPr>
      <w:r>
        <w:rPr>
          <w:rFonts w:ascii="Arial" w:cs="Arial" w:eastAsia="Arial" w:hAnsi="Arial"/>
          <w:sz w:val="22"/>
          <w:szCs w:val="22"/>
        </w:rPr>
        <w:t xml:space="preserve">FTS tokenizes "732 10th St" into individual terms and matches each against the tokenized address. "732" matches in "732-746", "10th" matches, and the hyphen and range don’t interfere.</w:t>
      </w:r>
    </w:p>
    <w:p>
      <w:pPr>
        <w:pStyle w:val="ListParagraph"/>
        <w:numPr>
          <w:ilvl w:val="0"/>
          <w:numId w:val="2"/>
        </w:numPr>
        <w:spacing w:after="80"/>
      </w:pPr>
      <w:r>
        <w:rPr>
          <w:rFonts w:ascii="Arial" w:cs="Arial" w:eastAsia="Arial" w:hAnsi="Arial"/>
          <w:sz w:val="22"/>
          <w:szCs w:val="22"/>
        </w:rPr>
        <w:t xml:space="preserve">The FTS approach also enables prefix matching, so searching "732 Ten" would match "732-746 Tenth Street".</w:t>
      </w:r>
    </w:p>
    <w:p>
      <w:pPr>
        <w:pStyle w:val="ListParagraph"/>
        <w:numPr>
          <w:ilvl w:val="0"/>
          <w:numId w:val="2"/>
        </w:numPr>
        <w:spacing w:after="80"/>
      </w:pPr>
      <w:r>
        <w:rPr>
          <w:rFonts w:ascii="Arial" w:cs="Arial" w:eastAsia="Arial" w:hAnsi="Arial"/>
          <w:sz w:val="22"/>
          <w:szCs w:val="22"/>
        </w:rPr>
        <w:t xml:space="preserve">Additionally, generate search key alternates ("Tenth" → "10th" and vice versa) at index time, so both ordinal forms are searchable regardless of the display format chosen.</w:t>
      </w:r>
    </w:p>
    <w:p>
      <w:pPr>
        <w:spacing w:after="160"/>
      </w:pPr>
      <w:r>
        <w:t xml:space="preserve">This search improvement should be done as a follow-up after the formatter is in place, not as part of this plan.</w:t>
      </w:r>
    </w:p>
    <w:p>
      <w:r>
        <w:br w:type="page"/>
      </w:r>
    </w:p>
    <w:p>
      <w:pPr>
        <w:pStyle w:val="Heading1"/>
      </w:pPr>
      <w:r>
        <w:t xml:space="preserve">9. Testing Strategy</w:t>
      </w:r>
    </w:p>
    <w:p>
      <w:pPr>
        <w:pStyle w:val="Heading2"/>
      </w:pPr>
      <w:r>
        <w:t xml:space="preserve">Unit Tests</w:t>
      </w:r>
    </w:p>
    <w:p>
      <w:pPr>
        <w:spacing w:after="120"/>
      </w:pPr>
    </w:p>
    <w:p>
      <w:pPr>
        <w:pStyle w:val="ListParagraph"/>
        <w:numPr>
          <w:ilvl w:val="0"/>
          <w:numId w:val="2"/>
        </w:numPr>
        <w:spacing w:after="80"/>
      </w:pPr>
      <w:r>
        <w:rPr>
          <w:rFonts w:ascii="Arial" w:cs="Arial" w:eastAsia="Arial" w:hAnsi="Arial"/>
          <w:sz w:val="22"/>
          <w:szCs w:val="22"/>
        </w:rPr>
        <w:t xml:space="preserve">Ordinal normalization: verify all 20 word→digit and digit→word conversions</w:t>
      </w:r>
    </w:p>
    <w:p>
      <w:pPr>
        <w:pStyle w:val="ListParagraph"/>
        <w:numPr>
          <w:ilvl w:val="0"/>
          <w:numId w:val="2"/>
        </w:numPr>
        <w:spacing w:after="80"/>
      </w:pPr>
      <w:r>
        <w:rPr>
          <w:rFonts w:ascii="Arial" w:cs="Arial" w:eastAsia="Arial" w:hAnsi="Arial"/>
          <w:sz w:val="22"/>
          <w:szCs w:val="22"/>
        </w:rPr>
        <w:t xml:space="preserve">Suffix expansion: test all 65+ suffixes including French forms</w:t>
      </w:r>
    </w:p>
    <w:p>
      <w:pPr>
        <w:pStyle w:val="ListParagraph"/>
        <w:numPr>
          <w:ilvl w:val="0"/>
          <w:numId w:val="2"/>
        </w:numPr>
        <w:spacing w:after="80"/>
      </w:pPr>
      <w:r>
        <w:rPr>
          <w:rFonts w:ascii="Arial" w:cs="Arial" w:eastAsia="Arial" w:hAnsi="Arial"/>
          <w:sz w:val="22"/>
          <w:szCs w:val="22"/>
        </w:rPr>
        <w:t xml:space="preserve">Direction expansion: test all 8 cardinal/diagonal directions plus case variants</w:t>
      </w:r>
    </w:p>
    <w:p>
      <w:pPr>
        <w:pStyle w:val="ListParagraph"/>
        <w:numPr>
          <w:ilvl w:val="0"/>
          <w:numId w:val="2"/>
        </w:numPr>
        <w:spacing w:after="80"/>
      </w:pPr>
      <w:r>
        <w:rPr>
          <w:rFonts w:ascii="Arial" w:cs="Arial" w:eastAsia="Arial" w:hAnsi="Arial"/>
          <w:sz w:val="22"/>
          <w:szCs w:val="22"/>
        </w:rPr>
        <w:t xml:space="preserve">Title case: test uppercase, lowercase, mixed case, and UPPERCASE_TOKENS preservation</w:t>
      </w:r>
    </w:p>
    <w:p>
      <w:pPr>
        <w:pStyle w:val="ListParagraph"/>
        <w:numPr>
          <w:ilvl w:val="0"/>
          <w:numId w:val="2"/>
        </w:numPr>
        <w:spacing w:after="80"/>
      </w:pPr>
      <w:r>
        <w:rPr>
          <w:rFonts w:ascii="Arial" w:cs="Arial" w:eastAsia="Arial" w:hAnsi="Arial"/>
          <w:sz w:val="22"/>
          <w:szCs w:val="22"/>
        </w:rPr>
        <w:t xml:space="preserve">Saint names: test all 30 known saint names, verify "St." prefix</w:t>
      </w:r>
    </w:p>
    <w:p>
      <w:pPr>
        <w:pStyle w:val="ListParagraph"/>
        <w:numPr>
          <w:ilvl w:val="0"/>
          <w:numId w:val="2"/>
        </w:numPr>
        <w:spacing w:after="80"/>
      </w:pPr>
      <w:r>
        <w:rPr>
          <w:rFonts w:ascii="Arial" w:cs="Arial" w:eastAsia="Arial" w:hAnsi="Arial"/>
          <w:sz w:val="22"/>
          <w:szCs w:val="22"/>
        </w:rPr>
        <w:t xml:space="preserve">Display assembly: test the full format_display() with various component combinations</w:t>
      </w:r>
    </w:p>
    <w:p>
      <w:pPr>
        <w:pStyle w:val="ListParagraph"/>
        <w:numPr>
          <w:ilvl w:val="0"/>
          <w:numId w:val="2"/>
        </w:numPr>
        <w:spacing w:after="80"/>
      </w:pPr>
      <w:r>
        <w:rPr>
          <w:rFonts w:ascii="Arial" w:cs="Arial" w:eastAsia="Arial" w:hAnsi="Arial"/>
          <w:sz w:val="22"/>
          <w:szCs w:val="22"/>
        </w:rPr>
        <w:t xml:space="preserve">decompose_simple(): test with real GW address strings, OSM address strings, and edge cases</w:t>
      </w:r>
    </w:p>
    <w:p>
      <w:pPr>
        <w:pStyle w:val="ListParagraph"/>
        <w:numPr>
          <w:ilvl w:val="0"/>
          <w:numId w:val="2"/>
        </w:numPr>
        <w:spacing w:after="80"/>
      </w:pPr>
      <w:r>
        <w:rPr>
          <w:rFonts w:ascii="Arial" w:cs="Arial" w:eastAsia="Arial" w:hAnsi="Arial"/>
          <w:sz w:val="22"/>
          <w:szCs w:val="22"/>
        </w:rPr>
        <w:t xml:space="preserve">Compound roads: verify "County Road 93" doesn’t get split</w:t>
      </w:r>
    </w:p>
    <w:p>
      <w:pPr>
        <w:pStyle w:val="ListParagraph"/>
        <w:numPr>
          <w:ilvl w:val="0"/>
          <w:numId w:val="2"/>
        </w:numPr>
        <w:spacing w:after="80"/>
      </w:pPr>
      <w:r>
        <w:rPr>
          <w:rFonts w:ascii="Arial" w:cs="Arial" w:eastAsia="Arial" w:hAnsi="Arial"/>
          <w:sz w:val="22"/>
          <w:szCs w:val="22"/>
        </w:rPr>
        <w:t xml:space="preserve">French addresses: verify "Rue Notre-Dame" and "Chemin du Lac" are handled correctly</w:t>
      </w:r>
    </w:p>
    <w:p>
      <w:pPr>
        <w:pStyle w:val="Heading2"/>
      </w:pPr>
      <w:r>
        <w:t xml:space="preserve">Integration Tests</w:t>
      </w:r>
    </w:p>
    <w:p>
      <w:pPr>
        <w:spacing w:after="120"/>
      </w:pPr>
    </w:p>
    <w:p>
      <w:pPr>
        <w:pStyle w:val="ListParagraph"/>
        <w:numPr>
          <w:ilvl w:val="0"/>
          <w:numId w:val="2"/>
        </w:numPr>
        <w:spacing w:after="80"/>
      </w:pPr>
      <w:r>
        <w:rPr>
          <w:rFonts w:ascii="Arial" w:cs="Arial" w:eastAsia="Arial" w:hAnsi="Arial"/>
          <w:sz w:val="22"/>
          <w:szCs w:val="22"/>
        </w:rPr>
        <w:t xml:space="preserve">Run RT normalizer on 100 sample records, compare display output before/after</w:t>
      </w:r>
    </w:p>
    <w:p>
      <w:pPr>
        <w:pStyle w:val="ListParagraph"/>
        <w:numPr>
          <w:ilvl w:val="0"/>
          <w:numId w:val="2"/>
        </w:numPr>
        <w:spacing w:after="80"/>
      </w:pPr>
      <w:r>
        <w:rPr>
          <w:rFonts w:ascii="Arial" w:cs="Arial" w:eastAsia="Arial" w:hAnsi="Arial"/>
          <w:sz w:val="22"/>
          <w:szCs w:val="22"/>
        </w:rPr>
        <w:t xml:space="preserve">Run GW normalizer on 100 sample records, compare display output before/after</w:t>
      </w:r>
    </w:p>
    <w:p>
      <w:pPr>
        <w:pStyle w:val="ListParagraph"/>
        <w:numPr>
          <w:ilvl w:val="0"/>
          <w:numId w:val="2"/>
        </w:numPr>
        <w:spacing w:after="80"/>
      </w:pPr>
      <w:r>
        <w:rPr>
          <w:rFonts w:ascii="Arial" w:cs="Arial" w:eastAsia="Arial" w:hAnsi="Arial"/>
          <w:sz w:val="22"/>
          <w:szCs w:val="22"/>
        </w:rPr>
        <w:t xml:space="preserve">Run full compiler, verify no properties have broken title case ("10Th" pattern)</w:t>
      </w:r>
    </w:p>
    <w:p>
      <w:pPr>
        <w:pStyle w:val="ListParagraph"/>
        <w:numPr>
          <w:ilvl w:val="0"/>
          <w:numId w:val="2"/>
        </w:numPr>
        <w:spacing w:after="80"/>
      </w:pPr>
      <w:r>
        <w:rPr>
          <w:rFonts w:ascii="Arial" w:cs="Arial" w:eastAsia="Arial" w:hAnsi="Arial"/>
          <w:sz w:val="22"/>
          <w:szCs w:val="22"/>
        </w:rPr>
        <w:t xml:space="preserve">Run full compiler, verify no properties have unexpanded suffixes or single-letter directions</w:t>
      </w:r>
    </w:p>
    <w:p>
      <w:pPr>
        <w:pStyle w:val="ListParagraph"/>
        <w:numPr>
          <w:ilvl w:val="0"/>
          <w:numId w:val="2"/>
        </w:numPr>
        <w:spacing w:after="80"/>
      </w:pPr>
      <w:r>
        <w:rPr>
          <w:rFonts w:ascii="Arial" w:cs="Arial" w:eastAsia="Arial" w:hAnsi="Arial"/>
          <w:sz w:val="22"/>
          <w:szCs w:val="22"/>
        </w:rPr>
        <w:t xml:space="preserve">Verify that the same physical address produces identical display_address from RT and GW sources</w:t>
      </w:r>
    </w:p>
    <w:p>
      <w:pPr>
        <w:pStyle w:val="Heading2"/>
      </w:pPr>
      <w:r>
        <w:t xml:space="preserve">Regression Checks</w:t>
      </w:r>
    </w:p>
    <w:p>
      <w:pPr>
        <w:spacing w:after="120"/>
      </w:pPr>
    </w:p>
    <w:p>
      <w:pPr>
        <w:pStyle w:val="ListParagraph"/>
        <w:numPr>
          <w:ilvl w:val="0"/>
          <w:numId w:val="2"/>
        </w:numPr>
        <w:spacing w:after="80"/>
      </w:pPr>
      <w:r>
        <w:rPr>
          <w:rFonts w:ascii="Arial" w:cs="Arial" w:eastAsia="Arial" w:hAnsi="Arial"/>
          <w:sz w:val="22"/>
          <w:szCs w:val="22"/>
        </w:rPr>
        <w:t xml:space="preserve">Verify total property count is unchanged after recompilation</w:t>
      </w:r>
    </w:p>
    <w:p>
      <w:pPr>
        <w:pStyle w:val="ListParagraph"/>
        <w:numPr>
          <w:ilvl w:val="0"/>
          <w:numId w:val="2"/>
        </w:numPr>
        <w:spacing w:after="80"/>
      </w:pPr>
      <w:r>
        <w:rPr>
          <w:rFonts w:ascii="Arial" w:cs="Arial" w:eastAsia="Arial" w:hAnsi="Arial"/>
          <w:sz w:val="22"/>
          <w:szCs w:val="22"/>
        </w:rPr>
        <w:t xml:space="preserve">Verify no CRM data (deals, lists, notes) is affected</w:t>
      </w:r>
    </w:p>
    <w:p>
      <w:pPr>
        <w:pStyle w:val="ListParagraph"/>
        <w:numPr>
          <w:ilvl w:val="0"/>
          <w:numId w:val="2"/>
        </w:numPr>
        <w:spacing w:after="80"/>
      </w:pPr>
      <w:r>
        <w:rPr>
          <w:rFonts w:ascii="Arial" w:cs="Arial" w:eastAsia="Arial" w:hAnsi="Arial"/>
          <w:sz w:val="22"/>
          <w:szCs w:val="22"/>
        </w:rPr>
        <w:t xml:space="preserve">Verify stable IDs (PRO_, CON_, GRP_) are not regenerated</w:t>
      </w:r>
    </w:p>
    <w:p>
      <w:pPr>
        <w:pStyle w:val="ListParagraph"/>
        <w:numPr>
          <w:ilvl w:val="0"/>
          <w:numId w:val="2"/>
        </w:numPr>
        <w:spacing w:after="80"/>
      </w:pPr>
      <w:r>
        <w:rPr>
          <w:rFonts w:ascii="Arial" w:cs="Arial" w:eastAsia="Arial" w:hAnsi="Arial"/>
          <w:sz w:val="22"/>
          <w:szCs w:val="22"/>
        </w:rPr>
        <w:t xml:space="preserve">Verify parcel resolution results are unaffected (formatter only changes display, not resolution)</w:t>
      </w:r>
    </w:p>
    <w:p>
      <w:pPr>
        <w:pStyle w:val="ListParagraph"/>
        <w:numPr>
          <w:ilvl w:val="0"/>
          <w:numId w:val="2"/>
        </w:numPr>
        <w:spacing w:after="80"/>
      </w:pPr>
      <w:r>
        <w:rPr>
          <w:rFonts w:ascii="Arial" w:cs="Arial" w:eastAsia="Arial" w:hAnsi="Arial"/>
          <w:sz w:val="22"/>
          <w:szCs w:val="22"/>
        </w:rPr>
        <w:t xml:space="preserve">Spot-check the properties page in the frontend for visual correctness</w:t>
      </w:r>
    </w:p>
    <w:p>
      <w:r>
        <w:br w:type="page"/>
      </w:r>
    </w:p>
    <w:p>
      <w:pPr>
        <w:pStyle w:val="Heading1"/>
      </w:pPr>
      <w:r>
        <w:t xml:space="preserve">10. File Changes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File</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Change Type</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cleo/address/__init__.py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New</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Public API: format_display(), decompose_simple()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cleo/address/formatter.py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New</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Core display assembly with ordinal normalization</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cleo/address/dictionaries.py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New</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Shared dictionaries (moved from RT, extended)</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cleo/address/normalize.py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New</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Shared formatting functions (moved from RT)</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cleo/address/decompose.py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New</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Lightweight decomposer for GW/OSM strings</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engines/rt/address_normalizer/dictionaries.py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Modified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Re-exports from cleo.address.dictionaries</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engines/rt/address_normalizer/normalize.py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Modified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Re-exports from cleo.address.normalize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engines/rt/address_normalizer/decompose.py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Modified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_build_display() calls format_display()</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engines/gw/normalize.py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Modified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Replace _title_case_street() with shared decomposer + formatter</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engines/gw/compile.py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Modified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Include structured components in output</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cleo/compiler/writer.py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Modified</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Apply format_display() in all passes; conditional GW overwrite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tests/test_address_formatter.py</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New</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Unit tests for shared module</w:t>
            </w:r>
          </w:p>
        </w:tc>
      </w:tr>
    </w:tbl>
    <w:p>
      <w:pPr>
        <w:spacing w:after="120"/>
      </w:pPr>
    </w:p>
    <w:p>
      <w:pPr>
        <w:pStyle w:val="Heading2"/>
      </w:pPr>
      <w:r>
        <w:t xml:space="preserve">Risk Assessment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Risk</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Likelihood</w:t>
            </w:r>
          </w:p>
        </w:tc>
        <w:tc>
          <w:tcPr>
            <w:tcW w:type="dxa" w:w="3120"/>
            <w:tcBorders>
              <w:top w:val="single" w:color="D0D0D8" w:sz="1"/>
              <w:left w:val="single" w:color="D0D0D8" w:sz="1"/>
              <w:bottom w:val="single" w:color="D0D0D8" w:sz="1"/>
              <w:right w:val="single" w:color="D0D0D8" w:sz="1"/>
            </w:tcBorders>
            <w:shd w:fill="2E7D5B" w:val="clear"/>
            <w:tcMar>
              <w:top w:type="dxa" w:w="60"/>
              <w:left w:type="dxa" w:w="120"/>
              <w:bottom w:type="dxa" w:w="60"/>
              <w:right w:type="dxa" w:w="120"/>
            </w:tcMar>
          </w:tcPr>
          <w:p>
            <w:r>
              <w:rPr>
                <w:rFonts w:ascii="Arial" w:cs="Arial" w:eastAsia="Arial" w:hAnsi="Arial"/>
                <w:b/>
                <w:bCs/>
                <w:color w:val="FFFFFF"/>
                <w:sz w:val="18"/>
                <w:szCs w:val="18"/>
              </w:rPr>
              <w:t xml:space="preserve">Mitigation</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RT import paths break</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Low</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Re-export pattern ensures backward compatibility</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GW addresses look different than before</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Certain</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Intentional; "223 Clark Road E" becomes "223 Clark Road East". Verify with stakeholders that full-word directions are acceptable.</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OSM addresses have unexpected formats</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Medium</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decompose_simple() has a fallback: if it can’t parse, return the title-cased input as-is. No data is lost.</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Ordinal decision is wrong</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Low</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Word form for 1–10 matches 95%+ of existing data. Easy to reverse if needed.</w:t>
            </w:r>
          </w:p>
        </w:tc>
      </w:tr>
      <w:tr>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Performance impact of decompose_simple()</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Very low</w:t>
            </w:r>
          </w:p>
        </w:tc>
        <w:tc>
          <w:tcPr>
            <w:tcW w:type="dxa" w:w="3120"/>
            <w:tcBorders>
              <w:top w:val="single" w:color="D0D0D8" w:sz="1"/>
              <w:left w:val="single" w:color="D0D0D8" w:sz="1"/>
              <w:bottom w:val="single" w:color="D0D0D8" w:sz="1"/>
              <w:right w:val="single" w:color="D0D0D8"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Called once per record during compilation, not at query time. Compilation is already I/O-bound.</w:t>
            </w:r>
          </w:p>
        </w:tc>
      </w:tr>
    </w:tbl>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B" w:sz="1"/>
              <w:left w:val="single" w:color="2E7D5B" w:sz="12"/>
              <w:bottom w:val="single" w:color="2E7D5B" w:sz="1"/>
              <w:right w:val="single" w:color="2E7D5B" w:sz="1"/>
            </w:tcBorders>
            <w:shd w:fill="E6F5EE" w:val="clear"/>
            <w:tcMar>
              <w:top w:type="dxa" w:w="120"/>
              <w:left w:type="dxa" w:w="200"/>
              <w:bottom w:type="dxa" w:w="120"/>
              <w:right w:type="dxa" w:w="200"/>
            </w:tcMar>
          </w:tcPr>
          <w:p>
            <w:r>
              <w:rPr>
                <w:color w:val="2E7D5B"/>
                <w:sz w:val="20"/>
                <w:szCs w:val="20"/>
              </w:rPr>
              <w:t xml:space="preserve">This plan changes how addresses are displayed, not how they are resolved. Parcel resolution, ARN matching, and geocoding are completely unaffected. The formatter operates on the display layer only.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8" w:sz="2" w:space="4"/>
      </w:pBdr>
      <w:jc w:val="right"/>
    </w:pPr>
    <w:r>
      <w:rPr>
        <w:color w:val="4A4A5A"/>
        <w:sz w:val="16"/>
        <w:szCs w:val="16"/>
      </w:rPr>
      <w:t xml:space="preserve">Page </w:t>
    </w:r>
    <w:r>
      <w:rPr>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B" w:sz="4" w:space="8"/>
      </w:pBdr>
    </w:pPr>
    <w:r>
      <w:rPr>
        <w:rFonts w:ascii="Arial" w:cs="Arial" w:eastAsia="Arial" w:hAnsi="Arial"/>
        <w:b/>
        <w:bCs/>
        <w:color w:val="2E7D5B"/>
        <w:sz w:val="18"/>
        <w:szCs w:val="18"/>
      </w:rPr>
      <w:t xml:space="preserve">Cleo Turbo</w:t>
    </w:r>
    <w:r>
      <w:rPr>
        <w:rFonts w:ascii="Arial" w:cs="Arial" w:eastAsia="Arial" w:hAnsi="Arial"/>
        <w:color w:val="4A4A5A"/>
        <w:sz w:val="18"/>
        <w:szCs w:val="18"/>
      </w:rPr>
      <w:t xml:space="preserve">  |  Shared Address Formatter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5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2026-04-11T17:41:09.283Z</dcterms:created>
  <dcterms:modified xsi:type="dcterms:W3CDTF">2026-04-11T17:41:09.283Z</dcterms:modified>
</cp:coreProperties>
</file>

<file path=docProps/custom.xml><?xml version="1.0" encoding="utf-8"?>
<Properties xmlns="http://schemas.openxmlformats.org/officeDocument/2006/custom-properties" xmlns:vt="http://schemas.openxmlformats.org/officeDocument/2006/docPropsVTypes"/>
</file>