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D5B"/>
          <w:sz w:val="52"/>
          <w:szCs w:val="52"/>
        </w:rPr>
        <w:t xml:space="preserve">Unified Parcel Resolution Service</w:t>
      </w:r>
    </w:p>
    <w:p>
      <w:pPr>
        <w:spacing w:after="600"/>
        <w:jc w:val="center"/>
      </w:pPr>
      <w:r>
        <w:rPr>
          <w:rFonts w:ascii="Arial" w:cs="Arial" w:eastAsia="Arial" w:hAnsi="Arial"/>
          <w:color w:val="555555"/>
          <w:sz w:val="36"/>
          <w:szCs w:val="36"/>
        </w:rPr>
        <w:t xml:space="preserve">Comprehensive Plan</w:t>
      </w:r>
    </w:p>
    <w:p>
      <w:pPr>
        <w:spacing w:after="100"/>
        <w:jc w:val="center"/>
      </w:pPr>
      <w:r>
        <w:rPr>
          <w:rFonts w:ascii="Arial" w:cs="Arial" w:eastAsia="Arial" w:hAnsi="Arial"/>
          <w:color w:val="555555"/>
          <w:sz w:val="24"/>
          <w:szCs w:val="24"/>
        </w:rPr>
        <w:t xml:space="preserve">Cleo Turbo — Commercial Real Estate Data Platform</w:t>
      </w:r>
    </w:p>
    <w:p>
      <w:pPr>
        <w:spacing w:after="100"/>
        <w:jc w:val="center"/>
      </w:pPr>
      <w:r>
        <w:rPr>
          <w:rFonts w:ascii="Arial" w:cs="Arial" w:eastAsia="Arial" w:hAnsi="Arial"/>
          <w:color w:val="555555"/>
          <w:sz w:val="24"/>
          <w:szCs w:val="24"/>
        </w:rPr>
        <w:t xml:space="preserve">April 10, 2026</w:t>
      </w:r>
    </w:p>
    <w:p>
      <w:pPr>
        <w:pBdr>
          <w:bottom w:val="single" w:color="DDDDDD" w:sz="2" w:space="8"/>
        </w:pBdr>
        <w:spacing w:after="200" w:before="200"/>
      </w:pPr>
    </w:p>
    <w:p>
      <w:pPr>
        <w:spacing w:after="100" w:before="400"/>
        <w:jc w:val="center"/>
      </w:pPr>
      <w:r>
        <w:rPr>
          <w:rFonts w:ascii="Arial" w:cs="Arial" w:eastAsia="Arial" w:hAnsi="Arial"/>
          <w:b/>
          <w:bCs/>
          <w:color w:val="2E7D5B"/>
          <w:sz w:val="22"/>
          <w:szCs w:val="22"/>
        </w:rPr>
        <w:t xml:space="preserve">Status: Draft for Review</w:t>
      </w:r>
    </w:p>
    <w:p>
      <w:pPr>
        <w:jc w:val="center"/>
      </w:pPr>
      <w:r>
        <w:rPr>
          <w:rFonts w:ascii="Arial" w:cs="Arial" w:eastAsia="Arial" w:hAnsi="Arial"/>
          <w:color w:val="555555"/>
          <w:sz w:val="20"/>
          <w:szCs w:val="20"/>
        </w:rPr>
        <w:t xml:space="preserve">Prepared by: Brandon Olsen + Claude</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A1A1A"/>
          <w:sz w:val="32"/>
          <w:szCs w:val="32"/>
        </w:rPr>
        <w:t xml:space="preserve">Executive Summary</w:t>
      </w:r>
    </w:p>
    <w:p>
      <w:pPr>
        <w:spacing w:after="120"/>
      </w:pPr>
      <w:r>
        <w:rPr>
          <w:rFonts w:ascii="Arial" w:cs="Arial" w:eastAsia="Arial" w:hAnsi="Arial"/>
          <w:color w:val="555555"/>
          <w:sz w:val="22"/>
          <w:szCs w:val="22"/>
        </w:rPr>
        <w:t xml:space="preserve">Cleo Turbo links records from three data sources (Realtrack transactions, GeoWarehouse assessments, and OpenStreetMap POIs) to Ontario land parcels via the Assessment Roll Number (ARN). Today, each source has its own independent resolution pipeline with different logic, different confidence thresholds, and different output formats. This fragmentation is the root cause of recurring parcel mismatches.</w:t>
      </w:r>
    </w:p>
    <w:p>
      <w:pPr>
        <w:spacing w:after="120"/>
      </w:pPr>
      <w:r>
        <w:rPr>
          <w:rFonts w:ascii="Arial" w:cs="Arial" w:eastAsia="Arial" w:hAnsi="Arial"/>
          <w:color w:val="555555"/>
          <w:sz w:val="22"/>
          <w:szCs w:val="22"/>
        </w:rPr>
        <w:t xml:space="preserve">This plan replaces the three separate resolvers with a single unified resolution module that all pipelines share. The unified service standardizes the resolution chain, adds mandatory cross-validation, introduces consistent confidence scoring, and ensures that bug fixes (like the PIP validation fix of April 6) apply to all sources simultaneously.</w:t>
      </w:r>
    </w:p>
    <w:p>
      <w:pPr>
        <w:pStyle w:val="Heading2"/>
        <w:spacing w:after="160" w:before="240"/>
      </w:pPr>
      <w:r>
        <w:rPr>
          <w:rFonts w:ascii="Arial" w:cs="Arial" w:eastAsia="Arial" w:hAnsi="Arial"/>
          <w:b/>
          <w:bCs/>
          <w:color w:val="1A1A1A"/>
          <w:sz w:val="28"/>
          <w:szCs w:val="28"/>
        </w:rPr>
        <w:t xml:space="preserve">The Problem 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Metric</w:t>
            </w:r>
          </w:p>
        </w:tc>
        <w:tc>
          <w:tcPr>
            <w:tcW w:type="dxa" w:w="468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Total RT records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124,544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RT records with unverified ARN (never geocoded)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76,598 (61.5%)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RT records with spatial_geocode (geocoder + PIP)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47,810 (38.4%)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RT records with full cross-validation (arn_verified)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4 (0.003%)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Cached parcel geometries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98,120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Properties in database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86,884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Properties with geometry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80,820 (93%)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POIs pre-PIP-fix on wrong parcel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5,189 (25%)</w:t>
            </w:r>
          </w:p>
        </w:tc>
      </w:tr>
    </w:tbl>
    <w:p>
      <w:pPr>
        <w:spacing w:after="120"/>
      </w:pPr>
      <w:r>
        <w:rPr>
          <w:rFonts w:ascii="Arial" w:cs="Arial" w:eastAsia="Arial" w:hAnsi="Arial"/>
          <w:color w:val="555555"/>
          <w:sz w:val="22"/>
          <w:szCs w:val="22"/>
        </w:rPr>
        <w:t xml:space="preserve"/>
      </w:r>
    </w:p>
    <w:p>
      <w:pPr>
        <w:spacing w:after="120"/>
      </w:pPr>
      <w:r>
        <w:rPr>
          <w:rFonts w:ascii="Arial" w:cs="Arial" w:eastAsia="Arial" w:hAnsi="Arial"/>
          <w:color w:val="555555"/>
          <w:sz w:val="22"/>
          <w:szCs w:val="22"/>
        </w:rPr>
        <w:t xml:space="preserve">61.5% of RT records sit on parcels based solely on the ARN from Realtrack, which is known to contain errors. These were never cross-validated by geocoding. Only 4 records out of 124,544 have the gold standard of ARN + geocode agreement. This plan addresses this by running every record through the Ontario geocoder and cross-validating all signals.</w:t>
      </w:r>
    </w:p>
    <w:p>
      <w:pPr>
        <w:pStyle w:val="Heading2"/>
        <w:spacing w:after="160" w:before="240"/>
      </w:pPr>
      <w:r>
        <w:rPr>
          <w:rFonts w:ascii="Arial" w:cs="Arial" w:eastAsia="Arial" w:hAnsi="Arial"/>
          <w:b/>
          <w:bCs/>
          <w:color w:val="1A1A1A"/>
          <w:sz w:val="28"/>
          <w:szCs w:val="28"/>
        </w:rPr>
        <w:t xml:space="preserve">Root Cause Analysis: The 107 Edward St Case</w:t>
      </w:r>
    </w:p>
    <w:p>
      <w:pPr>
        <w:spacing w:after="120"/>
      </w:pPr>
      <w:r>
        <w:rPr>
          <w:rFonts w:ascii="Arial" w:cs="Arial" w:eastAsia="Arial" w:hAnsi="Arial"/>
          <w:color w:val="555555"/>
          <w:sz w:val="22"/>
          <w:szCs w:val="22"/>
        </w:rPr>
        <w:t xml:space="preserve">A $6.8M RT transaction (RT156261) at 107 Edward Street, St. Thomas was supposed to land on the Shoppers Drug Mart parcel. Instead, it resolved to the adjacent Rona parcel. The OSM POI for Shoppers Drug Mart sits exactly on the correct building rooftop, confirming the correct parcel.</w:t>
      </w:r>
    </w:p>
    <w:p>
      <w:pPr>
        <w:spacing w:after="120"/>
      </w:pPr>
      <w:r>
        <w:rPr>
          <w:rFonts w:ascii="Arial" w:cs="Arial" w:eastAsia="Arial" w:hAnsi="Arial"/>
          <w:color w:val="555555"/>
          <w:sz w:val="22"/>
          <w:szCs w:val="22"/>
        </w:rPr>
        <w:t xml:space="preserve">What happened: The Ontario geocoder returned coordinates 11–14m north of both parcel boundaries (street-center placement, standard geocoding variance). The bounding box query returned only the Rona parcel. The old AgMaps client code contained a bug: when only one parcel was returned, it skipped point-in-polygon validation entirely and accepted it. The record was resolved April 2, 2026. The PIP fix landed April 6 — four days too late.</w:t>
      </w:r>
    </w:p>
    <w:p>
      <w:pPr>
        <w:spacing w:after="120"/>
      </w:pPr>
      <w:r>
        <w:rPr>
          <w:rFonts w:ascii="Arial" w:cs="Arial" w:eastAsia="Arial" w:hAnsi="Arial"/>
          <w:color w:val="555555"/>
          <w:sz w:val="22"/>
          <w:szCs w:val="22"/>
        </w:rPr>
        <w:t xml:space="preserve">The PIP fix is now in the shared AgMaps client, protecting all future resolutions. But the data has not been reprocessed, so RT156261 and an unknown number of other records remain on wrong parcels.</w:t>
      </w:r>
    </w:p>
    <w:p>
      <w:r>
        <w:br w:type="page"/>
      </w:r>
    </w:p>
    <w:p>
      <w:pPr>
        <w:pStyle w:val="Heading1"/>
        <w:spacing w:after="160" w:before="360"/>
      </w:pPr>
      <w:r>
        <w:rPr>
          <w:rFonts w:ascii="Arial" w:cs="Arial" w:eastAsia="Arial" w:hAnsi="Arial"/>
          <w:b/>
          <w:bCs/>
          <w:color w:val="1A1A1A"/>
          <w:sz w:val="32"/>
          <w:szCs w:val="32"/>
        </w:rPr>
        <w:t xml:space="preserve">Part 1: Unified Resolution Service Architecture</w:t>
      </w:r>
    </w:p>
    <w:p>
      <w:pPr>
        <w:pStyle w:val="Heading2"/>
        <w:spacing w:after="160" w:before="240"/>
      </w:pPr>
      <w:r>
        <w:rPr>
          <w:rFonts w:ascii="Arial" w:cs="Arial" w:eastAsia="Arial" w:hAnsi="Arial"/>
          <w:b/>
          <w:bCs/>
          <w:color w:val="1A1A1A"/>
          <w:sz w:val="28"/>
          <w:szCs w:val="28"/>
        </w:rPr>
        <w:t xml:space="preserve">Module Location and Structure</w:t>
      </w:r>
    </w:p>
    <w:p>
      <w:pPr>
        <w:shd w:fill="F5F5F5" w:val="clear"/>
        <w:spacing w:after="80" w:before="80"/>
        <w:ind w:left="360"/>
      </w:pPr>
      <w:r>
        <w:rPr>
          <w:rFonts w:ascii="Courier New" w:cs="Courier New" w:eastAsia="Courier New" w:hAnsi="Courier New"/>
          <w:color w:val="1A1A1A"/>
          <w:sz w:val="18"/>
          <w:szCs w:val="18"/>
        </w:rPr>
        <w:t xml:space="preserve">cleo/resolver/                    ← NEW shared module</w:t>
      </w:r>
    </w:p>
    <w:p>
      <w:pPr>
        <w:shd w:fill="F5F5F5" w:val="clear"/>
        <w:spacing w:after="80" w:before="80"/>
        <w:ind w:left="360"/>
      </w:pPr>
      <w:r>
        <w:rPr>
          <w:rFonts w:ascii="Courier New" w:cs="Courier New" w:eastAsia="Courier New" w:hAnsi="Courier New"/>
          <w:color w:val="1A1A1A"/>
          <w:sz w:val="18"/>
          <w:szCs w:val="18"/>
        </w:rPr>
        <w:t xml:space="preserve">    __init__.py                   ← Public API: resolve()</w:t>
      </w:r>
    </w:p>
    <w:p>
      <w:pPr>
        <w:shd w:fill="F5F5F5" w:val="clear"/>
        <w:spacing w:after="80" w:before="80"/>
        <w:ind w:left="360"/>
      </w:pPr>
      <w:r>
        <w:rPr>
          <w:rFonts w:ascii="Courier New" w:cs="Courier New" w:eastAsia="Courier New" w:hAnsi="Courier New"/>
          <w:color w:val="1A1A1A"/>
          <w:sz w:val="18"/>
          <w:szCs w:val="18"/>
        </w:rPr>
        <w:t xml:space="preserve">    chain.py                      ← Resolution chain logic</w:t>
      </w:r>
    </w:p>
    <w:p>
      <w:pPr>
        <w:shd w:fill="F5F5F5" w:val="clear"/>
        <w:spacing w:after="80" w:before="80"/>
        <w:ind w:left="360"/>
      </w:pPr>
      <w:r>
        <w:rPr>
          <w:rFonts w:ascii="Courier New" w:cs="Courier New" w:eastAsia="Courier New" w:hAnsi="Courier New"/>
          <w:color w:val="1A1A1A"/>
          <w:sz w:val="18"/>
          <w:szCs w:val="18"/>
        </w:rPr>
        <w:t xml:space="preserve">    confidence.py                 ← Confidence scoring</w:t>
      </w:r>
    </w:p>
    <w:p>
      <w:pPr>
        <w:shd w:fill="F5F5F5" w:val="clear"/>
        <w:spacing w:after="80" w:before="80"/>
        <w:ind w:left="360"/>
      </w:pPr>
      <w:r>
        <w:rPr>
          <w:rFonts w:ascii="Courier New" w:cs="Courier New" w:eastAsia="Courier New" w:hAnsi="Courier New"/>
          <w:color w:val="1A1A1A"/>
          <w:sz w:val="18"/>
          <w:szCs w:val="18"/>
        </w:rPr>
        <w:t xml:space="preserve">    geocoder.py                   ← Ontario geocoder wrapper</w:t>
      </w:r>
    </w:p>
    <w:p>
      <w:pPr>
        <w:shd w:fill="F5F5F5" w:val="clear"/>
        <w:spacing w:after="80" w:before="80"/>
        <w:ind w:left="360"/>
      </w:pPr>
      <w:r>
        <w:rPr>
          <w:rFonts w:ascii="Courier New" w:cs="Courier New" w:eastAsia="Courier New" w:hAnsi="Courier New"/>
          <w:color w:val="1A1A1A"/>
          <w:sz w:val="18"/>
          <w:szCs w:val="18"/>
        </w:rPr>
        <w:t xml:space="preserve">    agmaps.py                     ← AgMaps client (moved from engines/rt/)</w:t>
      </w:r>
    </w:p>
    <w:p>
      <w:pPr>
        <w:shd w:fill="F5F5F5" w:val="clear"/>
        <w:spacing w:after="80" w:before="80"/>
        <w:ind w:left="360"/>
      </w:pPr>
      <w:r>
        <w:rPr>
          <w:rFonts w:ascii="Courier New" w:cs="Courier New" w:eastAsia="Courier New" w:hAnsi="Courier New"/>
          <w:color w:val="1A1A1A"/>
          <w:sz w:val="18"/>
          <w:szCs w:val="18"/>
        </w:rPr>
        <w:t xml:space="preserve">    cache.py                      ← Parcel cache (moved from engines/rt/)</w:t>
      </w:r>
    </w:p>
    <w:p>
      <w:pPr>
        <w:shd w:fill="F5F5F5" w:val="clear"/>
        <w:spacing w:after="80" w:before="80"/>
        <w:ind w:left="360"/>
      </w:pPr>
      <w:r>
        <w:rPr>
          <w:rFonts w:ascii="Courier New" w:cs="Courier New" w:eastAsia="Courier New" w:hAnsi="Courier New"/>
          <w:color w:val="1A1A1A"/>
          <w:sz w:val="18"/>
          <w:szCs w:val="18"/>
        </w:rPr>
        <w:t xml:space="preserve">    pip.py                        ← Point-in-polygon (local grid + ray-cast)</w:t>
      </w:r>
    </w:p>
    <w:p>
      <w:pPr>
        <w:shd w:fill="F5F5F5" w:val="clear"/>
        <w:spacing w:after="80" w:before="80"/>
        <w:ind w:left="360"/>
      </w:pPr>
      <w:r>
        <w:rPr>
          <w:rFonts w:ascii="Courier New" w:cs="Courier New" w:eastAsia="Courier New" w:hAnsi="Courier New"/>
          <w:color w:val="1A1A1A"/>
          <w:sz w:val="18"/>
          <w:szCs w:val="18"/>
        </w:rPr>
        <w:t xml:space="preserve">    pin_bridge.py                 ← PIN→ARN bridge (moved from engines/rt/)</w:t>
      </w:r>
    </w:p>
    <w:p>
      <w:pPr>
        <w:shd w:fill="F5F5F5" w:val="clear"/>
        <w:spacing w:after="80" w:before="80"/>
        <w:ind w:left="360"/>
      </w:pPr>
      <w:r>
        <w:rPr>
          <w:rFonts w:ascii="Courier New" w:cs="Courier New" w:eastAsia="Courier New" w:hAnsi="Courier New"/>
          <w:color w:val="1A1A1A"/>
          <w:sz w:val="18"/>
          <w:szCs w:val="18"/>
        </w:rPr>
        <w:t xml:space="preserve">    types.py                      ← Input/output dataclasses</w:t>
      </w:r>
    </w:p>
    <w:p>
      <w:pPr>
        <w:spacing w:after="120"/>
      </w:pPr>
      <w:r>
        <w:rPr>
          <w:rFonts w:ascii="Arial" w:cs="Arial" w:eastAsia="Arial" w:hAnsi="Arial"/>
          <w:color w:val="555555"/>
          <w:sz w:val="22"/>
          <w:szCs w:val="22"/>
        </w:rPr>
        <w:t xml:space="preserve"/>
      </w:r>
    </w:p>
    <w:p>
      <w:pPr>
        <w:spacing w:after="120"/>
      </w:pPr>
      <w:r>
        <w:rPr>
          <w:rFonts w:ascii="Arial" w:cs="Arial" w:eastAsia="Arial" w:hAnsi="Arial"/>
          <w:color w:val="555555"/>
          <w:sz w:val="22"/>
          <w:szCs w:val="22"/>
        </w:rPr>
        <w:t xml:space="preserve">All shared infrastructure (AgMaps client, parcel cache, PIN bridge, PIP logic) moves from engines/rt/parcel_resolver/ into cleo/resolver/. The old engines/rt/parcel_resolver/ directory becomes a thin adapter that calls the unified service.</w:t>
      </w:r>
    </w:p>
    <w:p>
      <w:pPr>
        <w:pStyle w:val="Heading2"/>
        <w:spacing w:after="160" w:before="240"/>
      </w:pPr>
      <w:r>
        <w:rPr>
          <w:rFonts w:ascii="Arial" w:cs="Arial" w:eastAsia="Arial" w:hAnsi="Arial"/>
          <w:b/>
          <w:bCs/>
          <w:color w:val="1A1A1A"/>
          <w:sz w:val="28"/>
          <w:szCs w:val="28"/>
        </w:rPr>
        <w:t xml:space="preserve">Public API</w:t>
      </w:r>
    </w:p>
    <w:p>
      <w:pPr>
        <w:spacing w:after="120"/>
      </w:pPr>
      <w:r>
        <w:rPr>
          <w:rFonts w:ascii="Arial" w:cs="Arial" w:eastAsia="Arial" w:hAnsi="Arial"/>
          <w:color w:val="555555"/>
          <w:sz w:val="22"/>
          <w:szCs w:val="22"/>
        </w:rPr>
        <w:t xml:space="preserve">The unified service exposes a single function that all pipelines call:</w:t>
      </w:r>
    </w:p>
    <w:p>
      <w:pPr>
        <w:shd w:fill="F5F5F5" w:val="clear"/>
        <w:spacing w:after="80" w:before="80"/>
        <w:ind w:left="360"/>
      </w:pPr>
      <w:r>
        <w:rPr>
          <w:rFonts w:ascii="Courier New" w:cs="Courier New" w:eastAsia="Courier New" w:hAnsi="Courier New"/>
          <w:color w:val="1A1A1A"/>
          <w:sz w:val="18"/>
          <w:szCs w:val="18"/>
        </w:rPr>
        <w:t xml:space="preserve">def resolve(input: ResolutionInput) -&gt; ResolutionResult</w:t>
      </w:r>
    </w:p>
    <w:p>
      <w:pPr>
        <w:spacing w:after="120"/>
      </w:pPr>
      <w:r>
        <w:rPr>
          <w:rFonts w:ascii="Arial" w:cs="Arial" w:eastAsia="Arial" w:hAnsi="Arial"/>
          <w:color w:val="555555"/>
          <w:sz w:val="22"/>
          <w:szCs w:val="22"/>
        </w:rPr>
        <w:t xml:space="preserve"/>
      </w:r>
    </w:p>
    <w:p>
      <w:pPr>
        <w:spacing w:after="120"/>
      </w:pPr>
      <w:r>
        <w:rPr>
          <w:rFonts w:ascii="Arial" w:cs="Arial" w:eastAsia="Arial" w:hAnsi="Arial"/>
          <w:color w:val="555555"/>
          <w:sz w:val="22"/>
          <w:szCs w:val="22"/>
        </w:rPr>
        <w:t xml:space="preserve">ResolutionInput is a dataclass that accepts whatever identifiers the caller has. All fields are optional — the resolver works with whatever is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Field</w:t>
            </w:r>
          </w:p>
        </w:tc>
        <w:tc>
          <w:tcPr>
            <w:tcW w:type="dxa" w:w="328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Type</w:t>
            </w:r>
          </w:p>
        </w:tc>
        <w:tc>
          <w:tcPr>
            <w:tcW w:type="dxa" w:w="328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Who Provides 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arn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str | None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RT (from export), GW (from MPAC)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pin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str | None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RT (from export), GW (from registry)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addresses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list[GeocodableAddress]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RT (normalized), GW (from MPAC), OSM (partial)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coords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tuple[float, float] | None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OSM (rooftop), RT (if previously geocoded)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source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Always: 'rt', 'gw', or 'osm'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source_id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str</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Always: RT_ID, GW_ID, or OSM_ID</w:t>
            </w:r>
          </w:p>
        </w:tc>
      </w:tr>
    </w:tbl>
    <w:p>
      <w:pPr>
        <w:spacing w:after="120"/>
      </w:pPr>
      <w:r>
        <w:rPr>
          <w:rFonts w:ascii="Arial" w:cs="Arial" w:eastAsia="Arial" w:hAnsi="Arial"/>
          <w:color w:val="555555"/>
          <w:sz w:val="22"/>
          <w:szCs w:val="22"/>
        </w:rPr>
        <w:t xml:space="preserve"/>
      </w:r>
    </w:p>
    <w:p>
      <w:pPr>
        <w:pStyle w:val="Heading2"/>
        <w:spacing w:after="160" w:before="240"/>
      </w:pPr>
      <w:r>
        <w:rPr>
          <w:rFonts w:ascii="Arial" w:cs="Arial" w:eastAsia="Arial" w:hAnsi="Arial"/>
          <w:b/>
          <w:bCs/>
          <w:color w:val="1A1A1A"/>
          <w:sz w:val="28"/>
          <w:szCs w:val="28"/>
        </w:rPr>
        <w:t xml:space="preserve">Resolution Chain (Priority Order)</w:t>
      </w:r>
    </w:p>
    <w:p>
      <w:pPr>
        <w:spacing w:after="120"/>
      </w:pPr>
      <w:r>
        <w:rPr>
          <w:rFonts w:ascii="Arial" w:cs="Arial" w:eastAsia="Arial" w:hAnsi="Arial"/>
          <w:color w:val="555555"/>
          <w:sz w:val="22"/>
          <w:szCs w:val="22"/>
        </w:rPr>
        <w:t xml:space="preserve">The unified resolver executes these steps in order, collecting signals. It does not short-circuit after the first match — it gathers all available signals and then makes a confidence-weighted decision.</w:t>
      </w:r>
    </w:p>
    <w:p>
      <w:pPr>
        <w:pStyle w:val="ListParagraph"/>
        <w:numPr>
          <w:ilvl w:val="0"/>
          <w:numId w:val="2"/>
        </w:numPr>
        <w:spacing w:after="80"/>
      </w:pPr>
      <w:r>
        <w:rPr>
          <w:rFonts w:ascii="Arial" w:cs="Arial" w:eastAsia="Arial" w:hAnsi="Arial"/>
          <w:color w:val="555555"/>
          <w:sz w:val="22"/>
          <w:szCs w:val="22"/>
        </w:rPr>
        <w:t xml:space="preserve">PIN→ARN Bridge: If PIN provided and no ARN, look up GW clean records for a matching PIN. Zero API calls. Result: candidate ARN.</w:t>
      </w:r>
    </w:p>
    <w:p>
      <w:pPr>
        <w:pStyle w:val="ListParagraph"/>
        <w:numPr>
          <w:ilvl w:val="0"/>
          <w:numId w:val="2"/>
        </w:numPr>
        <w:spacing w:after="80"/>
      </w:pPr>
      <w:r>
        <w:rPr>
          <w:rFonts w:ascii="Arial" w:cs="Arial" w:eastAsia="Arial" w:hAnsi="Arial"/>
          <w:color w:val="555555"/>
          <w:sz w:val="22"/>
          <w:szCs w:val="22"/>
        </w:rPr>
        <w:t xml:space="preserve">ARN Lookup: If ARN available (from input or PIN bridge), check parcel cache, then AgMaps API. Result: candidate parcel with geometry and centroid.</w:t>
      </w:r>
    </w:p>
    <w:p>
      <w:pPr>
        <w:pStyle w:val="ListParagraph"/>
        <w:numPr>
          <w:ilvl w:val="0"/>
          <w:numId w:val="2"/>
        </w:numPr>
        <w:spacing w:after="80"/>
      </w:pPr>
      <w:r>
        <w:rPr>
          <w:rFonts w:ascii="Arial" w:cs="Arial" w:eastAsia="Arial" w:hAnsi="Arial"/>
          <w:color w:val="555555"/>
          <w:sz w:val="22"/>
          <w:szCs w:val="22"/>
        </w:rPr>
        <w:t xml:space="preserve">Address Geocoding: If geocodable addresses provided, geocode ALL variants via Ontario geocoder. For each successful geocode, run spatial PIP query to find containing parcel. Result: one or more (geocoded_coords, candidate_arn) pairs.</w:t>
      </w:r>
    </w:p>
    <w:p>
      <w:pPr>
        <w:pStyle w:val="ListParagraph"/>
        <w:numPr>
          <w:ilvl w:val="0"/>
          <w:numId w:val="2"/>
        </w:numPr>
        <w:spacing w:after="80"/>
      </w:pPr>
      <w:r>
        <w:rPr>
          <w:rFonts w:ascii="Arial" w:cs="Arial" w:eastAsia="Arial" w:hAnsi="Arial"/>
          <w:color w:val="555555"/>
          <w:sz w:val="22"/>
          <w:szCs w:val="22"/>
        </w:rPr>
        <w:t xml:space="preserve">Coordinate PIP: If coordinates provided (OSM rooftop coords, or previously geocoded), run direct spatial PIP query against AgMaps. Result: candidate parcel.</w:t>
      </w:r>
    </w:p>
    <w:p>
      <w:pPr>
        <w:pStyle w:val="ListParagraph"/>
        <w:numPr>
          <w:ilvl w:val="0"/>
          <w:numId w:val="2"/>
        </w:numPr>
        <w:spacing w:after="80"/>
      </w:pPr>
      <w:r>
        <w:rPr>
          <w:rFonts w:ascii="Arial" w:cs="Arial" w:eastAsia="Arial" w:hAnsi="Arial"/>
          <w:color w:val="555555"/>
          <w:sz w:val="22"/>
          <w:szCs w:val="22"/>
        </w:rPr>
        <w:t xml:space="preserve">Cross-Validation: Compare all candidate ARNs from steps 1–4. Do they agree? If multiple signals point to the same parcel, confidence increases. If they disagree, apply the decision hierarchy.</w:t>
      </w:r>
    </w:p>
    <w:p>
      <w:pPr>
        <w:pStyle w:val="ListParagraph"/>
        <w:numPr>
          <w:ilvl w:val="0"/>
          <w:numId w:val="2"/>
        </w:numPr>
        <w:spacing w:after="80"/>
      </w:pPr>
      <w:r>
        <w:rPr>
          <w:rFonts w:ascii="Arial" w:cs="Arial" w:eastAsia="Arial" w:hAnsi="Arial"/>
          <w:color w:val="555555"/>
          <w:sz w:val="22"/>
          <w:szCs w:val="22"/>
        </w:rPr>
        <w:t xml:space="preserve">PIP Verification: Final mandatory check. Take the best available coordinates and verify they fall inside the assigned parcel polygon using local grid-based PIP (zero API calls). If they don’t, flag for review.</w:t>
      </w:r>
    </w:p>
    <w:p>
      <w:pPr>
        <w:spacing w:after="120"/>
      </w:pPr>
      <w:r>
        <w:rPr>
          <w:rFonts w:ascii="Arial" w:cs="Arial" w:eastAsia="Arial" w:hAnsi="Arial"/>
          <w:color w:val="555555"/>
          <w:sz w:val="22"/>
          <w:szCs w:val="22"/>
        </w:rPr>
        <w:t xml:space="preserve"/>
      </w:r>
    </w:p>
    <w:p>
      <w:pPr>
        <w:pStyle w:val="Heading2"/>
        <w:spacing w:after="160" w:before="240"/>
      </w:pPr>
      <w:r>
        <w:rPr>
          <w:rFonts w:ascii="Arial" w:cs="Arial" w:eastAsia="Arial" w:hAnsi="Arial"/>
          <w:b/>
          <w:bCs/>
          <w:color w:val="1A1A1A"/>
          <w:sz w:val="28"/>
          <w:szCs w:val="28"/>
        </w:rPr>
        <w:t xml:space="preserve">Decision Hierarchy (When Signals Disagree)</w:t>
      </w:r>
    </w:p>
    <w:p>
      <w:pPr>
        <w:spacing w:after="120"/>
      </w:pPr>
      <w:r>
        <w:rPr>
          <w:rFonts w:ascii="Arial" w:cs="Arial" w:eastAsia="Arial" w:hAnsi="Arial"/>
          <w:color w:val="555555"/>
          <w:sz w:val="22"/>
          <w:szCs w:val="22"/>
        </w:rPr>
        <w:t xml:space="preserve">When the ARN-based parcel and the geocode-based parcel point to different parcels, the resolver applies this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c>
          <w:tcPr>
            <w:tcW w:type="dxa" w:w="6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w:t>
            </w:r>
          </w:p>
        </w:tc>
        <w:tc>
          <w:tcPr>
            <w:tcW w:type="dxa" w:w="28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Signal</w:t>
            </w:r>
          </w:p>
        </w:tc>
        <w:tc>
          <w:tcPr>
            <w:tcW w:type="dxa" w:w="28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Condition</w:t>
            </w:r>
          </w:p>
        </w:tc>
        <w:tc>
          <w:tcPr>
            <w:tcW w:type="dxa" w:w="316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Action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OSM rooftop coordinates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POI has coords, PIP passes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Trust POI coords — most accurate ground truth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PointAddress geocode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Score ≥ 90, PIP passes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Trust geocode over ARN — rooftop precision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Multi-address consensus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 2 variants agree on parcel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Trust consensus over single ARN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StreetAddress geocode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Score ≥ 80, PIP passes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Trust geocode if ARN has no cross-validation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ARN from source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ARN resolves to valid parcel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Use ARN but mark as lower confidence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PIN-bridged ARN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PIN found in GW data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Use bridged ARN, lowest confidence</w:t>
            </w:r>
          </w:p>
        </w:tc>
      </w:tr>
    </w:tbl>
    <w:p>
      <w:r>
        <w:br w:type="page"/>
      </w:r>
    </w:p>
    <w:p>
      <w:pPr>
        <w:pStyle w:val="Heading2"/>
        <w:spacing w:after="160" w:before="240"/>
      </w:pPr>
      <w:r>
        <w:rPr>
          <w:rFonts w:ascii="Arial" w:cs="Arial" w:eastAsia="Arial" w:hAnsi="Arial"/>
          <w:b/>
          <w:bCs/>
          <w:color w:val="1A1A1A"/>
          <w:sz w:val="28"/>
          <w:szCs w:val="28"/>
        </w:rPr>
        <w:t xml:space="preserve">Confidence Scoring</w:t>
      </w:r>
    </w:p>
    <w:p>
      <w:pPr>
        <w:spacing w:after="120"/>
      </w:pPr>
      <w:r>
        <w:rPr>
          <w:rFonts w:ascii="Arial" w:cs="Arial" w:eastAsia="Arial" w:hAnsi="Arial"/>
          <w:color w:val="555555"/>
          <w:sz w:val="22"/>
          <w:szCs w:val="22"/>
        </w:rPr>
        <w:t xml:space="preserve">Every resolution result includes a numeric confidence score (0.0–1.0) computed from the method used and the number of agreeing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Method</w:t>
            </w:r>
          </w:p>
        </w:tc>
        <w:tc>
          <w:tcPr>
            <w:tcW w:type="dxa" w:w="14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Base Score</w:t>
            </w:r>
          </w:p>
        </w:tc>
        <w:tc>
          <w:tcPr>
            <w:tcW w:type="dxa" w:w="476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verified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0.95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ARN + geocode + PIP all agree on same parcel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spatial_consensus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0.90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Multiple address variants geocode to same parcel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spatial_geocode (PointAddress)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0.85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Rooftop geocode + PIP passed, no ARN to cross-check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spatial_geocode (StreetAddress)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0.70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Interpolated geocode + PIP passed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spatial_override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0.80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Geocode disagrees with ARN; geocode trusted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arn_only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0.50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ARN resolved but no geocode validation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pin_bridge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0.40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PIN bridged via GW; no direct validation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unresolved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All methods failed</w:t>
            </w:r>
          </w:p>
        </w:tc>
      </w:tr>
    </w:tbl>
    <w:p>
      <w:pPr>
        <w:spacing w:after="120"/>
      </w:pPr>
      <w:r>
        <w:rPr>
          <w:rFonts w:ascii="Arial" w:cs="Arial" w:eastAsia="Arial" w:hAnsi="Arial"/>
          <w:color w:val="555555"/>
          <w:sz w:val="22"/>
          <w:szCs w:val="22"/>
        </w:rPr>
        <w:t xml:space="preserve"/>
      </w:r>
    </w:p>
    <w:p>
      <w:pPr>
        <w:spacing w:after="120"/>
      </w:pPr>
      <w:r>
        <w:rPr>
          <w:rFonts w:ascii="Arial" w:cs="Arial" w:eastAsia="Arial" w:hAnsi="Arial"/>
          <w:color w:val="555555"/>
          <w:sz w:val="22"/>
          <w:szCs w:val="22"/>
        </w:rPr>
        <w:t xml:space="preserve">Bonus modifiers: +0.05 if PIP verification passes. +0.05 if a POI exists on the same parcel with matching address. Capped at 1.0.</w:t>
      </w:r>
    </w:p>
    <w:p>
      <w:pPr>
        <w:pStyle w:val="Heading2"/>
        <w:spacing w:after="160" w:before="240"/>
      </w:pPr>
      <w:r>
        <w:rPr>
          <w:rFonts w:ascii="Arial" w:cs="Arial" w:eastAsia="Arial" w:hAnsi="Arial"/>
          <w:b/>
          <w:bCs/>
          <w:color w:val="1A1A1A"/>
          <w:sz w:val="28"/>
          <w:szCs w:val="28"/>
        </w:rPr>
        <w:t xml:space="preserve">Output Format: ResolutionResult</w:t>
      </w:r>
    </w:p>
    <w:p>
      <w:pPr>
        <w:spacing w:after="120"/>
      </w:pPr>
      <w:r>
        <w:rPr>
          <w:rFonts w:ascii="Arial" w:cs="Arial" w:eastAsia="Arial" w:hAnsi="Arial"/>
          <w:color w:val="555555"/>
          <w:sz w:val="22"/>
          <w:szCs w:val="22"/>
        </w:rPr>
        <w:t xml:space="preserve">The unified service returns a standardized result regardless of data source. This is the contract that all downstream consumers (compile stages, database writer) depend on:</w:t>
      </w:r>
    </w:p>
    <w:p>
      <w:pPr>
        <w:shd w:fill="F5F5F5" w:val="clear"/>
        <w:spacing w:after="80" w:before="80"/>
        <w:ind w:left="360"/>
      </w:pPr>
      <w:r>
        <w:rPr>
          <w:rFonts w:ascii="Courier New" w:cs="Courier New" w:eastAsia="Courier New" w:hAnsi="Courier New"/>
          <w:color w:val="1A1A1A"/>
          <w:sz w:val="18"/>
          <w:szCs w:val="18"/>
        </w:rPr>
        <w:t xml:space="preserve">ResolutionResult:</w:t>
      </w:r>
    </w:p>
    <w:p>
      <w:pPr>
        <w:shd w:fill="F5F5F5" w:val="clear"/>
        <w:spacing w:after="80" w:before="80"/>
        <w:ind w:left="360"/>
      </w:pPr>
      <w:r>
        <w:rPr>
          <w:rFonts w:ascii="Courier New" w:cs="Courier New" w:eastAsia="Courier New" w:hAnsi="Courier New"/>
          <w:color w:val="1A1A1A"/>
          <w:sz w:val="18"/>
          <w:szCs w:val="18"/>
        </w:rPr>
        <w:t xml:space="preserve">  resolved_arn: str | None          # 20-digit ARN, or None if unresolved</w:t>
      </w:r>
    </w:p>
    <w:p>
      <w:pPr>
        <w:shd w:fill="F5F5F5" w:val="clear"/>
        <w:spacing w:after="80" w:before="80"/>
        <w:ind w:left="360"/>
      </w:pPr>
      <w:r>
        <w:rPr>
          <w:rFonts w:ascii="Courier New" w:cs="Courier New" w:eastAsia="Courier New" w:hAnsi="Courier New"/>
          <w:color w:val="1A1A1A"/>
          <w:sz w:val="18"/>
          <w:szCs w:val="18"/>
        </w:rPr>
        <w:t xml:space="preserve">  method: str                       # verified | spatial_consensus | spatial_geocode | ...</w:t>
      </w:r>
    </w:p>
    <w:p>
      <w:pPr>
        <w:shd w:fill="F5F5F5" w:val="clear"/>
        <w:spacing w:after="80" w:before="80"/>
        <w:ind w:left="360"/>
      </w:pPr>
      <w:r>
        <w:rPr>
          <w:rFonts w:ascii="Courier New" w:cs="Courier New" w:eastAsia="Courier New" w:hAnsi="Courier New"/>
          <w:color w:val="1A1A1A"/>
          <w:sz w:val="18"/>
          <w:szCs w:val="18"/>
        </w:rPr>
        <w:t xml:space="preserve">  confidence: float                 # 0.0–1.0</w:t>
      </w:r>
    </w:p>
    <w:p>
      <w:pPr>
        <w:shd w:fill="F5F5F5" w:val="clear"/>
        <w:spacing w:after="80" w:before="80"/>
        <w:ind w:left="360"/>
      </w:pPr>
      <w:r>
        <w:rPr>
          <w:rFonts w:ascii="Courier New" w:cs="Courier New" w:eastAsia="Courier New" w:hAnsi="Courier New"/>
          <w:color w:val="1A1A1A"/>
          <w:sz w:val="18"/>
          <w:szCs w:val="18"/>
        </w:rPr>
        <w:t xml:space="preserve">  parcel_file: str | None           # Reference to cached parcel geometry</w:t>
      </w:r>
    </w:p>
    <w:p>
      <w:pPr>
        <w:shd w:fill="F5F5F5" w:val="clear"/>
        <w:spacing w:after="80" w:before="80"/>
        <w:ind w:left="360"/>
      </w:pPr>
      <w:r>
        <w:rPr>
          <w:rFonts w:ascii="Courier New" w:cs="Courier New" w:eastAsia="Courier New" w:hAnsi="Courier New"/>
          <w:color w:val="1A1A1A"/>
          <w:sz w:val="18"/>
          <w:szCs w:val="18"/>
        </w:rPr>
        <w:t xml:space="preserve">  reason: str | None                # Diagnostic if unresolved or overridden</w:t>
      </w:r>
    </w:p>
    <w:p>
      <w:pPr>
        <w:shd w:fill="F5F5F5" w:val="clear"/>
        <w:spacing w:after="80" w:before="80"/>
        <w:ind w:left="360"/>
      </w:pPr>
      <w:r>
        <w:rPr>
          <w:rFonts w:ascii="Courier New" w:cs="Courier New" w:eastAsia="Courier New" w:hAnsi="Courier New"/>
          <w:color w:val="1A1A1A"/>
          <w:sz w:val="18"/>
          <w:szCs w:val="18"/>
        </w:rPr>
        <w:t xml:space="preserve">  geocode: GeocodeFull | None       # Full geocode result (see Enrichment section)</w:t>
      </w:r>
    </w:p>
    <w:p>
      <w:pPr>
        <w:shd w:fill="F5F5F5" w:val="clear"/>
        <w:spacing w:after="80" w:before="80"/>
        <w:ind w:left="360"/>
      </w:pPr>
      <w:r>
        <w:rPr>
          <w:rFonts w:ascii="Courier New" w:cs="Courier New" w:eastAsia="Courier New" w:hAnsi="Courier New"/>
          <w:color w:val="1A1A1A"/>
          <w:sz w:val="18"/>
          <w:szCs w:val="18"/>
        </w:rPr>
        <w:t xml:space="preserve">  signals: list[Signal]             # All signals collected during resolution</w:t>
      </w:r>
    </w:p>
    <w:p>
      <w:pPr>
        <w:shd w:fill="F5F5F5" w:val="clear"/>
        <w:spacing w:after="80" w:before="80"/>
        <w:ind w:left="360"/>
      </w:pPr>
      <w:r>
        <w:rPr>
          <w:rFonts w:ascii="Courier New" w:cs="Courier New" w:eastAsia="Courier New" w:hAnsi="Courier New"/>
          <w:color w:val="1A1A1A"/>
          <w:sz w:val="18"/>
          <w:szCs w:val="18"/>
        </w:rPr>
        <w:t xml:space="preserve">  pip_verified: bool                # Did final PIP verification pass?</w:t>
      </w:r>
    </w:p>
    <w:p>
      <w:r>
        <w:br w:type="page"/>
      </w:r>
    </w:p>
    <w:p>
      <w:pPr>
        <w:pStyle w:val="Heading1"/>
        <w:spacing w:after="160" w:before="360"/>
      </w:pPr>
      <w:r>
        <w:rPr>
          <w:rFonts w:ascii="Arial" w:cs="Arial" w:eastAsia="Arial" w:hAnsi="Arial"/>
          <w:b/>
          <w:bCs/>
          <w:color w:val="1A1A1A"/>
          <w:sz w:val="32"/>
          <w:szCs w:val="32"/>
        </w:rPr>
        <w:t xml:space="preserve">Part 2: Pipeline I/O Contracts</w:t>
      </w:r>
    </w:p>
    <w:p>
      <w:pPr>
        <w:spacing w:after="120"/>
      </w:pPr>
      <w:r>
        <w:rPr>
          <w:rFonts w:ascii="Arial" w:cs="Arial" w:eastAsia="Arial" w:hAnsi="Arial"/>
          <w:color w:val="555555"/>
          <w:sz w:val="22"/>
          <w:szCs w:val="22"/>
        </w:rPr>
        <w:t xml:space="preserve">Each pipeline retains its own file-based I/O and checkpoint/resume logic. The unified resolver is called in the middle. Here are the exact contracts at each boundary.</w:t>
      </w:r>
    </w:p>
    <w:p>
      <w:pPr>
        <w:pStyle w:val="Heading2"/>
        <w:spacing w:after="160" w:before="240"/>
      </w:pPr>
      <w:r>
        <w:rPr>
          <w:rFonts w:ascii="Arial" w:cs="Arial" w:eastAsia="Arial" w:hAnsi="Arial"/>
          <w:b/>
          <w:bCs/>
          <w:color w:val="1A1A1A"/>
          <w:sz w:val="28"/>
          <w:szCs w:val="28"/>
        </w:rPr>
        <w:t xml:space="preserve">RT Pipeline</w:t>
      </w:r>
    </w:p>
    <w:p>
      <w:pPr>
        <w:pStyle w:val="Heading3"/>
        <w:spacing w:after="160" w:before="240"/>
      </w:pPr>
      <w:r>
        <w:rPr>
          <w:rFonts w:ascii="Arial" w:cs="Arial" w:eastAsia="Arial" w:hAnsi="Arial"/>
          <w:b/>
          <w:bCs/>
          <w:color w:val="1A1A1A"/>
          <w:sz w:val="24"/>
          <w:szCs w:val="24"/>
        </w:rPr>
        <w:t xml:space="preserve">Input: Addresses Stage → Resolve</w:t>
      </w:r>
    </w:p>
    <w:p>
      <w:pPr>
        <w:spacing w:after="120"/>
      </w:pPr>
      <w:r>
        <w:rPr>
          <w:rFonts w:ascii="Arial" w:cs="Arial" w:eastAsia="Arial" w:hAnsi="Arial"/>
          <w:color w:val="555555"/>
          <w:sz w:val="22"/>
          <w:szCs w:val="22"/>
        </w:rPr>
        <w:t xml:space="preserve">The RT resolve step reads from engines/rt/pipeline/addresses/{RT_ID}__*.json. Key fields consumed by the unified resolver:</w:t>
      </w:r>
    </w:p>
    <w:p>
      <w:pPr>
        <w:pStyle w:val="ListParagraph"/>
        <w:numPr>
          <w:ilvl w:val="0"/>
          <w:numId w:val="3"/>
        </w:numPr>
        <w:spacing w:after="80"/>
      </w:pPr>
      <w:r>
        <w:rPr>
          <w:rFonts w:ascii="Arial" w:cs="Arial" w:eastAsia="Arial" w:hAnsi="Arial"/>
          <w:b/>
          <w:bCs/>
          <w:color w:val="1A1A1A"/>
          <w:sz w:val="22"/>
          <w:szCs w:val="22"/>
        </w:rPr>
        <w:t xml:space="preserve">arn.api_format: </w:t>
      </w:r>
      <w:r>
        <w:rPr>
          <w:rFonts w:ascii="Arial" w:cs="Arial" w:eastAsia="Arial" w:hAnsi="Arial"/>
          <w:color w:val="555555"/>
          <w:sz w:val="22"/>
          <w:szCs w:val="22"/>
        </w:rPr>
        <w:t xml:space="preserve">20-digit ARN string (may be all zeros = missing)</w:t>
      </w:r>
    </w:p>
    <w:p>
      <w:pPr>
        <w:pStyle w:val="ListParagraph"/>
        <w:numPr>
          <w:ilvl w:val="0"/>
          <w:numId w:val="3"/>
        </w:numPr>
        <w:spacing w:after="80"/>
      </w:pPr>
      <w:r>
        <w:rPr>
          <w:rFonts w:ascii="Arial" w:cs="Arial" w:eastAsia="Arial" w:hAnsi="Arial"/>
          <w:b/>
          <w:bCs/>
          <w:color w:val="1A1A1A"/>
          <w:sz w:val="22"/>
          <w:szCs w:val="22"/>
        </w:rPr>
        <w:t xml:space="preserve">pin.api_format: </w:t>
      </w:r>
      <w:r>
        <w:rPr>
          <w:rFonts w:ascii="Arial" w:cs="Arial" w:eastAsia="Arial" w:hAnsi="Arial"/>
          <w:color w:val="555555"/>
          <w:sz w:val="22"/>
          <w:szCs w:val="22"/>
        </w:rPr>
        <w:t xml:space="preserve">9-digit PIN string</w:t>
      </w:r>
    </w:p>
    <w:p>
      <w:pPr>
        <w:pStyle w:val="ListParagraph"/>
        <w:numPr>
          <w:ilvl w:val="0"/>
          <w:numId w:val="3"/>
        </w:numPr>
        <w:spacing w:after="80"/>
      </w:pPr>
      <w:r>
        <w:rPr>
          <w:rFonts w:ascii="Arial" w:cs="Arial" w:eastAsia="Arial" w:hAnsi="Arial"/>
          <w:b/>
          <w:bCs/>
          <w:color w:val="1A1A1A"/>
          <w:sz w:val="22"/>
          <w:szCs w:val="22"/>
        </w:rPr>
        <w:t xml:space="preserve">property.addresses[]: </w:t>
      </w:r>
      <w:r>
        <w:rPr>
          <w:rFonts w:ascii="Arial" w:cs="Arial" w:eastAsia="Arial" w:hAnsi="Arial"/>
          <w:color w:val="555555"/>
          <w:sz w:val="22"/>
          <w:szCs w:val="22"/>
        </w:rPr>
        <w:t xml:space="preserve">Array of address objects, each with geocode_string and geocodable flag</w:t>
      </w:r>
    </w:p>
    <w:p>
      <w:pPr>
        <w:pStyle w:val="ListParagraph"/>
        <w:numPr>
          <w:ilvl w:val="0"/>
          <w:numId w:val="3"/>
        </w:numPr>
        <w:spacing w:after="80"/>
      </w:pPr>
      <w:r>
        <w:rPr>
          <w:rFonts w:ascii="Arial" w:cs="Arial" w:eastAsia="Arial" w:hAnsi="Arial"/>
          <w:b/>
          <w:bCs/>
          <w:color w:val="1A1A1A"/>
          <w:sz w:val="22"/>
          <w:szCs w:val="22"/>
        </w:rPr>
        <w:t xml:space="preserve">property.city, property.region: </w:t>
      </w:r>
      <w:r>
        <w:rPr>
          <w:rFonts w:ascii="Arial" w:cs="Arial" w:eastAsia="Arial" w:hAnsi="Arial"/>
          <w:color w:val="555555"/>
          <w:sz w:val="22"/>
          <w:szCs w:val="22"/>
        </w:rPr>
        <w:t xml:space="preserve">Used for geocode string construction</w:t>
      </w:r>
    </w:p>
    <w:p>
      <w:pPr>
        <w:spacing w:after="120"/>
      </w:pPr>
      <w:r>
        <w:rPr>
          <w:rFonts w:ascii="Arial" w:cs="Arial" w:eastAsia="Arial" w:hAnsi="Arial"/>
          <w:color w:val="555555"/>
          <w:sz w:val="22"/>
          <w:szCs w:val="22"/>
        </w:rPr>
        <w:t xml:space="preserve">The RT adapter converts this into a ResolutionInput and calls resolve().</w:t>
      </w:r>
    </w:p>
    <w:p>
      <w:pPr>
        <w:pStyle w:val="Heading3"/>
        <w:spacing w:after="160" w:before="240"/>
      </w:pPr>
      <w:r>
        <w:rPr>
          <w:rFonts w:ascii="Arial" w:cs="Arial" w:eastAsia="Arial" w:hAnsi="Arial"/>
          <w:b/>
          <w:bCs/>
          <w:color w:val="1A1A1A"/>
          <w:sz w:val="24"/>
          <w:szCs w:val="24"/>
        </w:rPr>
        <w:t xml:space="preserve">Output: Resolve → Compile</w:t>
      </w:r>
    </w:p>
    <w:p>
      <w:pPr>
        <w:spacing w:after="120"/>
      </w:pPr>
      <w:r>
        <w:rPr>
          <w:rFonts w:ascii="Arial" w:cs="Arial" w:eastAsia="Arial" w:hAnsi="Arial"/>
          <w:color w:val="555555"/>
          <w:sz w:val="22"/>
          <w:szCs w:val="22"/>
        </w:rPr>
        <w:t xml:space="preserve">The RT resolve step writes to engines/rt/pipeline/parcel_links/{RT_ID}__*.json. The new format extends the current schema with confidence and enriched geocode data:</w:t>
      </w:r>
    </w:p>
    <w:p>
      <w:pPr>
        <w:shd w:fill="F5F5F5" w:val="clear"/>
        <w:spacing w:after="80" w:before="80"/>
        <w:ind w:left="360"/>
      </w:pPr>
      <w:r>
        <w:rPr>
          <w:rFonts w:ascii="Courier New" w:cs="Courier New" w:eastAsia="Courier New" w:hAnsi="Courier New"/>
          <w:color w:val="1A1A1A"/>
          <w:sz w:val="18"/>
          <w:szCs w:val="18"/>
        </w:rPr>
        <w:t xml:space="preserve">{</w:t>
      </w:r>
    </w:p>
    <w:p>
      <w:pPr>
        <w:shd w:fill="F5F5F5" w:val="clear"/>
        <w:spacing w:after="80" w:before="80"/>
        <w:ind w:left="360"/>
      </w:pPr>
      <w:r>
        <w:rPr>
          <w:rFonts w:ascii="Courier New" w:cs="Courier New" w:eastAsia="Courier New" w:hAnsi="Courier New"/>
          <w:color w:val="1A1A1A"/>
          <w:sz w:val="18"/>
          <w:szCs w:val="18"/>
        </w:rPr>
        <w:t xml:space="preserve">  "rt_id": "RT100001",</w:t>
      </w:r>
    </w:p>
    <w:p>
      <w:pPr>
        <w:shd w:fill="F5F5F5" w:val="clear"/>
        <w:spacing w:after="80" w:before="80"/>
        <w:ind w:left="360"/>
      </w:pPr>
      <w:r>
        <w:rPr>
          <w:rFonts w:ascii="Courier New" w:cs="Courier New" w:eastAsia="Courier New" w:hAnsi="Courier New"/>
          <w:color w:val="1A1A1A"/>
          <w:sz w:val="18"/>
          <w:szCs w:val="18"/>
        </w:rPr>
        <w:t xml:space="preserve">  "resolved_arn": "19080133200075000000",</w:t>
      </w:r>
    </w:p>
    <w:p>
      <w:pPr>
        <w:shd w:fill="F5F5F5" w:val="clear"/>
        <w:spacing w:after="80" w:before="80"/>
        <w:ind w:left="360"/>
      </w:pPr>
      <w:r>
        <w:rPr>
          <w:rFonts w:ascii="Courier New" w:cs="Courier New" w:eastAsia="Courier New" w:hAnsi="Courier New"/>
          <w:color w:val="1A1A1A"/>
          <w:sz w:val="18"/>
          <w:szCs w:val="18"/>
        </w:rPr>
        <w:t xml:space="preserve">  "method": "verified",</w:t>
      </w:r>
    </w:p>
    <w:p>
      <w:pPr>
        <w:shd w:fill="F5F5F5" w:val="clear"/>
        <w:spacing w:after="80" w:before="80"/>
        <w:ind w:left="360"/>
      </w:pPr>
      <w:r>
        <w:rPr>
          <w:rFonts w:ascii="Courier New" w:cs="Courier New" w:eastAsia="Courier New" w:hAnsi="Courier New"/>
          <w:color w:val="1A1A1A"/>
          <w:sz w:val="18"/>
          <w:szCs w:val="18"/>
        </w:rPr>
        <w:t xml:space="preserve">  "confidence": 0.95,                          ← NEW</w:t>
      </w:r>
    </w:p>
    <w:p>
      <w:pPr>
        <w:shd w:fill="F5F5F5" w:val="clear"/>
        <w:spacing w:after="80" w:before="80"/>
        <w:ind w:left="360"/>
      </w:pPr>
      <w:r>
        <w:rPr>
          <w:rFonts w:ascii="Courier New" w:cs="Courier New" w:eastAsia="Courier New" w:hAnsi="Courier New"/>
          <w:color w:val="1A1A1A"/>
          <w:sz w:val="18"/>
          <w:szCs w:val="18"/>
        </w:rPr>
        <w:t xml:space="preserve">  "parcel_file": "19080133200075000000.json",</w:t>
      </w:r>
    </w:p>
    <w:p>
      <w:pPr>
        <w:shd w:fill="F5F5F5" w:val="clear"/>
        <w:spacing w:after="80" w:before="80"/>
        <w:ind w:left="360"/>
      </w:pPr>
      <w:r>
        <w:rPr>
          <w:rFonts w:ascii="Courier New" w:cs="Courier New" w:eastAsia="Courier New" w:hAnsi="Courier New"/>
          <w:color w:val="1A1A1A"/>
          <w:sz w:val="18"/>
          <w:szCs w:val="18"/>
        </w:rPr>
        <w:t xml:space="preserve">  "reason": null,</w:t>
      </w:r>
    </w:p>
    <w:p>
      <w:pPr>
        <w:shd w:fill="F5F5F5" w:val="clear"/>
        <w:spacing w:after="80" w:before="80"/>
        <w:ind w:left="360"/>
      </w:pPr>
      <w:r>
        <w:rPr>
          <w:rFonts w:ascii="Courier New" w:cs="Courier New" w:eastAsia="Courier New" w:hAnsi="Courier New"/>
          <w:color w:val="1A1A1A"/>
          <w:sz w:val="18"/>
          <w:szCs w:val="18"/>
        </w:rPr>
        <w:t xml:space="preserve">  "pip_verified": true,                        ← NEW</w:t>
      </w:r>
    </w:p>
    <w:p>
      <w:pPr>
        <w:shd w:fill="F5F5F5" w:val="clear"/>
        <w:spacing w:after="80" w:before="80"/>
        <w:ind w:left="360"/>
      </w:pPr>
      <w:r>
        <w:rPr>
          <w:rFonts w:ascii="Courier New" w:cs="Courier New" w:eastAsia="Courier New" w:hAnsi="Courier New"/>
          <w:color w:val="1A1A1A"/>
          <w:sz w:val="18"/>
          <w:szCs w:val="18"/>
        </w:rPr>
        <w:t xml:space="preserve">  "geocode": {</w:t>
      </w:r>
    </w:p>
    <w:p>
      <w:pPr>
        <w:shd w:fill="F5F5F5" w:val="clear"/>
        <w:spacing w:after="80" w:before="80"/>
        <w:ind w:left="360"/>
      </w:pPr>
      <w:r>
        <w:rPr>
          <w:rFonts w:ascii="Courier New" w:cs="Courier New" w:eastAsia="Courier New" w:hAnsi="Courier New"/>
          <w:color w:val="1A1A1A"/>
          <w:sz w:val="18"/>
          <w:szCs w:val="18"/>
        </w:rPr>
        <w:t xml:space="preserve">    "lat": 43.761,</w:t>
      </w:r>
    </w:p>
    <w:p>
      <w:pPr>
        <w:shd w:fill="F5F5F5" w:val="clear"/>
        <w:spacing w:after="80" w:before="80"/>
        <w:ind w:left="360"/>
      </w:pPr>
      <w:r>
        <w:rPr>
          <w:rFonts w:ascii="Courier New" w:cs="Courier New" w:eastAsia="Courier New" w:hAnsi="Courier New"/>
          <w:color w:val="1A1A1A"/>
          <w:sz w:val="18"/>
          <w:szCs w:val="18"/>
        </w:rPr>
        <w:t xml:space="preserve">    "lng": -79.541,</w:t>
      </w:r>
    </w:p>
    <w:p>
      <w:pPr>
        <w:shd w:fill="F5F5F5" w:val="clear"/>
        <w:spacing w:after="80" w:before="80"/>
        <w:ind w:left="360"/>
      </w:pPr>
      <w:r>
        <w:rPr>
          <w:rFonts w:ascii="Courier New" w:cs="Courier New" w:eastAsia="Courier New" w:hAnsi="Courier New"/>
          <w:color w:val="1A1A1A"/>
          <w:sz w:val="18"/>
          <w:szCs w:val="18"/>
        </w:rPr>
        <w:t xml:space="preserve">    "score": 100,</w:t>
      </w:r>
    </w:p>
    <w:p>
      <w:pPr>
        <w:shd w:fill="F5F5F5" w:val="clear"/>
        <w:spacing w:after="80" w:before="80"/>
        <w:ind w:left="360"/>
      </w:pPr>
      <w:r>
        <w:rPr>
          <w:rFonts w:ascii="Courier New" w:cs="Courier New" w:eastAsia="Courier New" w:hAnsi="Courier New"/>
          <w:color w:val="1A1A1A"/>
          <w:sz w:val="18"/>
          <w:szCs w:val="18"/>
        </w:rPr>
        <w:t xml:space="preserve">    "addr_type": "PointAddress",</w:t>
      </w:r>
    </w:p>
    <w:p>
      <w:pPr>
        <w:shd w:fill="F5F5F5" w:val="clear"/>
        <w:spacing w:after="80" w:before="80"/>
        <w:ind w:left="360"/>
      </w:pPr>
      <w:r>
        <w:rPr>
          <w:rFonts w:ascii="Courier New" w:cs="Courier New" w:eastAsia="Courier New" w:hAnsi="Courier New"/>
          <w:color w:val="1A1A1A"/>
          <w:sz w:val="18"/>
          <w:szCs w:val="18"/>
        </w:rPr>
        <w:t xml:space="preserve">    "match_addr": "90 Signet Drive, NORTH YORK, ONTARIO",</w:t>
      </w:r>
    </w:p>
    <w:p>
      <w:pPr>
        <w:shd w:fill="F5F5F5" w:val="clear"/>
        <w:spacing w:after="80" w:before="80"/>
        <w:ind w:left="360"/>
      </w:pPr>
      <w:r>
        <w:rPr>
          <w:rFonts w:ascii="Courier New" w:cs="Courier New" w:eastAsia="Courier New" w:hAnsi="Courier New"/>
          <w:color w:val="1A1A1A"/>
          <w:sz w:val="18"/>
          <w:szCs w:val="18"/>
        </w:rPr>
        <w:t xml:space="preserve">    "loc_name": "PARCEL_PCCF",               ← NEW (was dropped)</w:t>
      </w:r>
    </w:p>
    <w:p>
      <w:pPr>
        <w:shd w:fill="F5F5F5" w:val="clear"/>
        <w:spacing w:after="80" w:before="80"/>
        <w:ind w:left="360"/>
      </w:pPr>
      <w:r>
        <w:rPr>
          <w:rFonts w:ascii="Courier New" w:cs="Courier New" w:eastAsia="Courier New" w:hAnsi="Courier New"/>
          <w:color w:val="1A1A1A"/>
          <w:sz w:val="18"/>
          <w:szCs w:val="18"/>
        </w:rPr>
        <w:t xml:space="preserve">    "extent": { ... },                         ← NEW (if available)</w:t>
      </w:r>
    </w:p>
    <w:p>
      <w:pPr>
        <w:shd w:fill="F5F5F5" w:val="clear"/>
        <w:spacing w:after="80" w:before="80"/>
        <w:ind w:left="360"/>
      </w:pPr>
      <w:r>
        <w:rPr>
          <w:rFonts w:ascii="Courier New" w:cs="Courier New" w:eastAsia="Courier New" w:hAnsi="Courier New"/>
          <w:color w:val="1A1A1A"/>
          <w:sz w:val="18"/>
          <w:szCs w:val="18"/>
        </w:rPr>
        <w:t xml:space="preserve">    "all_candidates": [ ... ]                  ← NEW (fallback candidates)</w:t>
      </w:r>
    </w:p>
    <w:p>
      <w:pPr>
        <w:shd w:fill="F5F5F5" w:val="clear"/>
        <w:spacing w:after="80" w:before="80"/>
        <w:ind w:left="360"/>
      </w:pPr>
      <w:r>
        <w:rPr>
          <w:rFonts w:ascii="Courier New" w:cs="Courier New" w:eastAsia="Courier New" w:hAnsi="Courier New"/>
          <w:color w:val="1A1A1A"/>
          <w:sz w:val="18"/>
          <w:szCs w:val="18"/>
        </w:rPr>
        <w:t xml:space="preserve">  },</w:t>
      </w:r>
    </w:p>
    <w:p>
      <w:pPr>
        <w:shd w:fill="F5F5F5" w:val="clear"/>
        <w:spacing w:after="80" w:before="80"/>
        <w:ind w:left="360"/>
      </w:pPr>
      <w:r>
        <w:rPr>
          <w:rFonts w:ascii="Courier New" w:cs="Courier New" w:eastAsia="Courier New" w:hAnsi="Courier New"/>
          <w:color w:val="1A1A1A"/>
          <w:sz w:val="18"/>
          <w:szCs w:val="18"/>
        </w:rPr>
        <w:t xml:space="preserve">  "signals": [ ... ]                           ← NEW (all collected signals)</w:t>
      </w:r>
    </w:p>
    <w:p>
      <w:pPr>
        <w:shd w:fill="F5F5F5" w:val="clear"/>
        <w:spacing w:after="80" w:before="80"/>
        <w:ind w:left="360"/>
      </w:pPr>
      <w:r>
        <w:rPr>
          <w:rFonts w:ascii="Courier New" w:cs="Courier New" w:eastAsia="Courier New" w:hAnsi="Courier New"/>
          <w:color w:val="1A1A1A"/>
          <w:sz w:val="18"/>
          <w:szCs w:val="18"/>
        </w:rPr>
        <w:t xml:space="preserve">}</w:t>
      </w:r>
    </w:p>
    <w:p>
      <w:pPr>
        <w:spacing w:after="120"/>
      </w:pPr>
      <w:r>
        <w:rPr>
          <w:rFonts w:ascii="Arial" w:cs="Arial" w:eastAsia="Arial" w:hAnsi="Arial"/>
          <w:color w:val="555555"/>
          <w:sz w:val="22"/>
          <w:szCs w:val="22"/>
        </w:rPr>
        <w:t xml:space="preserve"/>
      </w:r>
    </w:p>
    <w:p>
      <w:pPr>
        <w:spacing w:after="120"/>
      </w:pPr>
      <w:r>
        <w:rPr>
          <w:rFonts w:ascii="Arial" w:cs="Arial" w:eastAsia="Arial" w:hAnsi="Arial"/>
          <w:color w:val="555555"/>
          <w:sz w:val="22"/>
          <w:szCs w:val="22"/>
        </w:rPr>
        <w:t xml:space="preserve">The compile stage (engines/rt/compile.py) reads this and builds the clean-data/rt/ record. The parcel section gains confidence and pip_verified fields. The compiler writer (cleo/compiler/writer.py) gains access to confidence for filtering/display.</w:t>
      </w:r>
    </w:p>
    <w:p>
      <w:pPr>
        <w:pStyle w:val="Heading2"/>
        <w:spacing w:after="160" w:before="240"/>
      </w:pPr>
      <w:r>
        <w:rPr>
          <w:rFonts w:ascii="Arial" w:cs="Arial" w:eastAsia="Arial" w:hAnsi="Arial"/>
          <w:b/>
          <w:bCs/>
          <w:color w:val="1A1A1A"/>
          <w:sz w:val="28"/>
          <w:szCs w:val="28"/>
        </w:rPr>
        <w:t xml:space="preserve">GW Pipeline</w:t>
      </w:r>
    </w:p>
    <w:p>
      <w:pPr>
        <w:spacing w:after="120"/>
      </w:pPr>
      <w:r>
        <w:rPr>
          <w:rFonts w:ascii="Arial" w:cs="Arial" w:eastAsia="Arial" w:hAnsi="Arial"/>
          <w:color w:val="555555"/>
          <w:sz w:val="22"/>
          <w:szCs w:val="22"/>
        </w:rPr>
        <w:t xml:space="preserve">GW input is simpler: assessments[].arn_api is the primary (and usually only) identifier. The GW adapter converts each assessment’s ARN into a ResolutionInput. The output format matches RT’s parcel_links schema, with one resolution per assessment (maintaining the existing array structure for multi-ARN records).</w:t>
      </w:r>
    </w:p>
    <w:p>
      <w:pPr>
        <w:spacing w:after="120"/>
      </w:pPr>
      <w:r>
        <w:rPr>
          <w:rFonts w:ascii="Arial" w:cs="Arial" w:eastAsia="Arial" w:hAnsi="Arial"/>
          <w:color w:val="555555"/>
          <w:sz w:val="22"/>
          <w:szCs w:val="22"/>
        </w:rPr>
        <w:t xml:space="preserve">GW records can optionally pass their geocode_string for cross-validation, catching any MPAC ARN errors.</w:t>
      </w:r>
    </w:p>
    <w:p>
      <w:pPr>
        <w:pStyle w:val="Heading2"/>
        <w:spacing w:after="160" w:before="240"/>
      </w:pPr>
      <w:r>
        <w:rPr>
          <w:rFonts w:ascii="Arial" w:cs="Arial" w:eastAsia="Arial" w:hAnsi="Arial"/>
          <w:b/>
          <w:bCs/>
          <w:color w:val="1A1A1A"/>
          <w:sz w:val="28"/>
          <w:szCs w:val="28"/>
        </w:rPr>
        <w:t xml:space="preserve">OSM Pipeline</w:t>
      </w:r>
    </w:p>
    <w:p>
      <w:pPr>
        <w:spacing w:after="120"/>
      </w:pPr>
      <w:r>
        <w:rPr>
          <w:rFonts w:ascii="Arial" w:cs="Arial" w:eastAsia="Arial" w:hAnsi="Arial"/>
          <w:color w:val="555555"/>
          <w:sz w:val="22"/>
          <w:szCs w:val="22"/>
        </w:rPr>
        <w:t xml:space="preserve">OSM input provides coords (lat, lng) from OpenStreetMap as the primary signal, plus partial address fields. The OSM adapter converts these into a ResolutionInput. The output updates the POI file in-place with the same field names (arn, parcel_status, parcel_method) plus the new confidence and pip_verified fields.</w:t>
      </w:r>
    </w:p>
    <w:p>
      <w:pPr>
        <w:spacing w:after="120"/>
      </w:pPr>
      <w:r>
        <w:rPr>
          <w:rFonts w:ascii="Arial" w:cs="Arial" w:eastAsia="Arial" w:hAnsi="Arial"/>
          <w:color w:val="555555"/>
          <w:sz w:val="22"/>
          <w:szCs w:val="22"/>
        </w:rPr>
        <w:t xml:space="preserve">POI coordinates are the highest-trust signal in the hierarchy. When a POI resolves to a parcel, that linkage is essentially ground truth.</w:t>
      </w:r>
    </w:p>
    <w:p>
      <w:pPr>
        <w:pStyle w:val="Heading2"/>
        <w:spacing w:after="160" w:before="240"/>
      </w:pPr>
      <w:r>
        <w:rPr>
          <w:rFonts w:ascii="Arial" w:cs="Arial" w:eastAsia="Arial" w:hAnsi="Arial"/>
          <w:b/>
          <w:bCs/>
          <w:color w:val="1A1A1A"/>
          <w:sz w:val="28"/>
          <w:szCs w:val="28"/>
        </w:rPr>
        <w:t xml:space="preserve">Backward Compatibility</w:t>
      </w:r>
    </w:p>
    <w:p>
      <w:pPr>
        <w:spacing w:after="120"/>
      </w:pPr>
      <w:r>
        <w:rPr>
          <w:rFonts w:ascii="Arial" w:cs="Arial" w:eastAsia="Arial" w:hAnsi="Arial"/>
          <w:color w:val="555555"/>
          <w:sz w:val="22"/>
          <w:szCs w:val="22"/>
        </w:rPr>
        <w:t xml:space="preserve">The new output format is a strict superset of the current format. All existing fields (resolved_arn, method, parcel_file, reason, geocode) are preserved with the same names and semantics. New fields (confidence, pip_verified, signals) are additive. The compile stages and compiler writer will work without modification — they simply ignore fields they don’t consume. Once stable, downstream consumers can start using the new fields.</w:t>
      </w:r>
    </w:p>
    <w:p>
      <w:r>
        <w:br w:type="page"/>
      </w:r>
    </w:p>
    <w:p>
      <w:pPr>
        <w:pStyle w:val="Heading1"/>
        <w:spacing w:after="160" w:before="360"/>
      </w:pPr>
      <w:r>
        <w:rPr>
          <w:rFonts w:ascii="Arial" w:cs="Arial" w:eastAsia="Arial" w:hAnsi="Arial"/>
          <w:b/>
          <w:bCs/>
          <w:color w:val="1A1A1A"/>
          <w:sz w:val="32"/>
          <w:szCs w:val="32"/>
        </w:rPr>
        <w:t xml:space="preserve">Part 3: Enrichment Data Capture</w:t>
      </w:r>
    </w:p>
    <w:p>
      <w:pPr>
        <w:spacing w:after="120"/>
      </w:pPr>
      <w:r>
        <w:rPr>
          <w:rFonts w:ascii="Arial" w:cs="Arial" w:eastAsia="Arial" w:hAnsi="Arial"/>
          <w:color w:val="555555"/>
          <w:sz w:val="22"/>
          <w:szCs w:val="22"/>
        </w:rPr>
        <w:t xml:space="preserve">Before reprocessing 124,544 records, we need to capture all available data from the geocoder and AgMaps APIs. Today we drop several potentially valuable fields. This section specifies what to add.</w:t>
      </w:r>
    </w:p>
    <w:p>
      <w:pPr>
        <w:pStyle w:val="Heading2"/>
        <w:spacing w:after="160" w:before="240"/>
      </w:pPr>
      <w:r>
        <w:rPr>
          <w:rFonts w:ascii="Arial" w:cs="Arial" w:eastAsia="Arial" w:hAnsi="Arial"/>
          <w:b/>
          <w:bCs/>
          <w:color w:val="1A1A1A"/>
          <w:sz w:val="28"/>
          <w:szCs w:val="28"/>
        </w:rPr>
        <w:t xml:space="preserve">Pre-Rerun Requirement: Schema Discovery</w:t>
      </w:r>
    </w:p>
    <w:p>
      <w:pPr>
        <w:spacing w:after="120"/>
      </w:pPr>
      <w:r>
        <w:rPr>
          <w:rFonts w:ascii="Arial" w:cs="Arial" w:eastAsia="Arial" w:hAnsi="Arial"/>
          <w:color w:val="555555"/>
          <w:sz w:val="22"/>
          <w:szCs w:val="22"/>
        </w:rPr>
        <w:t xml:space="preserve">Before any code changes, run one live test query against each API from your local machine and dump the full raw JSON response. This confirms exactly which fields are available from this specific Ontario instance of the services.</w:t>
      </w:r>
    </w:p>
    <w:p>
      <w:pPr>
        <w:pStyle w:val="ListParagraph"/>
        <w:numPr>
          <w:ilvl w:val="0"/>
          <w:numId w:val="3"/>
        </w:numPr>
        <w:spacing w:after="80"/>
      </w:pPr>
      <w:r>
        <w:rPr>
          <w:rFonts w:ascii="Arial" w:cs="Arial" w:eastAsia="Arial" w:hAnsi="Arial"/>
          <w:b/>
          <w:bCs/>
          <w:color w:val="1A1A1A"/>
          <w:sz w:val="22"/>
          <w:szCs w:val="22"/>
        </w:rPr>
        <w:t xml:space="preserve">Ontario Geocoder: </w:t>
      </w:r>
      <w:r>
        <w:rPr>
          <w:rFonts w:ascii="Arial" w:cs="Arial" w:eastAsia="Arial" w:hAnsi="Arial"/>
          <w:color w:val="555555"/>
          <w:sz w:val="22"/>
          <w:szCs w:val="22"/>
        </w:rPr>
        <w:t xml:space="preserve">Geocode a known address (e.g., “107 Edward St, St Thomas, ON”) and print the full candidates[0] object including all attributes.</w:t>
      </w:r>
    </w:p>
    <w:p>
      <w:pPr>
        <w:pStyle w:val="ListParagraph"/>
        <w:numPr>
          <w:ilvl w:val="0"/>
          <w:numId w:val="3"/>
        </w:numPr>
        <w:spacing w:after="80"/>
      </w:pPr>
      <w:r>
        <w:rPr>
          <w:rFonts w:ascii="Arial" w:cs="Arial" w:eastAsia="Arial" w:hAnsi="Arial"/>
          <w:b/>
          <w:bCs/>
          <w:color w:val="1A1A1A"/>
          <w:sz w:val="22"/>
          <w:szCs w:val="22"/>
        </w:rPr>
        <w:t xml:space="preserve">AgMaps Parcel Service: </w:t>
      </w:r>
      <w:r>
        <w:rPr>
          <w:rFonts w:ascii="Arial" w:cs="Arial" w:eastAsia="Arial" w:hAnsi="Arial"/>
          <w:color w:val="555555"/>
          <w:sz w:val="22"/>
          <w:szCs w:val="22"/>
        </w:rPr>
        <w:t xml:space="preserve">Hit the service metadata endpoint ({BASE_URL}?f=json) to get the full field list. Also query a known ARN and print the full feature attributes dict.</w:t>
      </w:r>
    </w:p>
    <w:p>
      <w:pPr>
        <w:spacing w:after="120"/>
      </w:pPr>
      <w:r>
        <w:rPr>
          <w:rFonts w:ascii="Arial" w:cs="Arial" w:eastAsia="Arial" w:hAnsi="Arial"/>
          <w:color w:val="555555"/>
          <w:sz w:val="22"/>
          <w:szCs w:val="22"/>
        </w:rPr>
        <w:t xml:space="preserve">This takes 10 minutes and prevents us from re-querying 124K records only to discover we missed a field.</w:t>
      </w:r>
    </w:p>
    <w:p>
      <w:pPr>
        <w:pStyle w:val="Heading2"/>
        <w:spacing w:after="160" w:before="240"/>
      </w:pPr>
      <w:r>
        <w:rPr>
          <w:rFonts w:ascii="Arial" w:cs="Arial" w:eastAsia="Arial" w:hAnsi="Arial"/>
          <w:b/>
          <w:bCs/>
          <w:color w:val="1A1A1A"/>
          <w:sz w:val="28"/>
          <w:szCs w:val="28"/>
        </w:rPr>
        <w:t xml:space="preserve">Ontario Geocoder: Fields to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c>
          <w:tcPr>
            <w:tcW w:type="dxa" w:w="20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Field</w:t>
            </w:r>
          </w:p>
        </w:tc>
        <w:tc>
          <w:tcPr>
            <w:tcW w:type="dxa" w:w="14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Status</w:t>
            </w:r>
          </w:p>
        </w:tc>
        <w:tc>
          <w:tcPr>
            <w:tcW w:type="dxa" w:w="22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Action</w:t>
            </w:r>
          </w:p>
        </w:tc>
        <w:tc>
          <w:tcPr>
            <w:tcW w:type="dxa" w:w="376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Value for CRE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lat, lng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Core location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Match confidence (0–100)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addr_type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PointAddress/StreetAddress/Postal precision level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match_addr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Geocoder’s canonical address form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loc_name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Retrieved, dropped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Start capturing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Source locator name (PARCEL_PCCF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extent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Not 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Start capturing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Bounding box — useful for match quality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all_candidates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Extracted, unused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Store in result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Fallback candidates for debugging and reprocessing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City, Region, Postal*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7700"/>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Capture if available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Parsed address components — cross-check against input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Side_of_street*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7700"/>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Capture if available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Parcel disambiguation for adjacent lots</w:t>
            </w:r>
          </w:p>
        </w:tc>
      </w:tr>
    </w:tbl>
    <w:p>
      <w:pPr>
        <w:spacing w:after="120"/>
      </w:pPr>
      <w:r>
        <w:rPr>
          <w:rFonts w:ascii="Arial" w:cs="Arial" w:eastAsia="Arial" w:hAnsi="Arial"/>
          <w:color w:val="555555"/>
          <w:sz w:val="18"/>
          <w:szCs w:val="18"/>
        </w:rPr>
        <w:t xml:space="preserve">* Confirm availability during schema discovery step.</w:t>
      </w:r>
    </w:p>
    <w:p>
      <w:pPr>
        <w:pStyle w:val="Heading2"/>
        <w:spacing w:after="160" w:before="240"/>
      </w:pPr>
      <w:r>
        <w:rPr>
          <w:rFonts w:ascii="Arial" w:cs="Arial" w:eastAsia="Arial" w:hAnsi="Arial"/>
          <w:b/>
          <w:bCs/>
          <w:color w:val="1A1A1A"/>
          <w:sz w:val="28"/>
          <w:szCs w:val="28"/>
        </w:rPr>
        <w:t xml:space="preserve">AgMaps Parcel Service: Fields to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160"/>
      </w:tblGrid>
      <w:tr>
        <w:tc>
          <w:tcPr>
            <w:tcW w:type="dxa" w:w="26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Field</w:t>
            </w:r>
          </w:p>
        </w:tc>
        <w:tc>
          <w:tcPr>
            <w:tcW w:type="dxa" w:w="14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Status</w:t>
            </w:r>
          </w:p>
        </w:tc>
        <w:tc>
          <w:tcPr>
            <w:tcW w:type="dxa" w:w="22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Action</w:t>
            </w:r>
          </w:p>
        </w:tc>
        <w:tc>
          <w:tcPr>
            <w:tcW w:type="dxa" w:w="316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Value for CRE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ASSESSMENT_ROLL_NUMBER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Primary parcel identifier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Geometry (rings)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Parcel polygon boundary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OGF_ID, OBJECTID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System identifiers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Timestamps (4 fields)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Captured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Keep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Data freshness tracking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Explicitly dropped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Start capturing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Cross-reference for PIN-based lookups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Shape.STArea()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Explicitly dropped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Start capturing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Parcel area (sq meters) — saves recomputing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Shape.STLength()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Explicitly dropped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Start capturing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Parcel perimeter — lot dimension enrichment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Municipality code/name*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7700"/>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Capture if available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Property grouping, market analysis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Property class/use 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7700"/>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Capture if available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Property classification enrichment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Lot/plan/subdivision*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7700"/>
                <w:sz w:val="20"/>
                <w:szCs w:val="20"/>
              </w:rPr>
              <w:t xml:space="preserve">Unknown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Capture if available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Legal description enrichment</w:t>
            </w:r>
          </w:p>
        </w:tc>
      </w:tr>
    </w:tbl>
    <w:p>
      <w:pPr>
        <w:spacing w:after="120"/>
      </w:pPr>
      <w:r>
        <w:rPr>
          <w:rFonts w:ascii="Arial" w:cs="Arial" w:eastAsia="Arial" w:hAnsi="Arial"/>
          <w:color w:val="555555"/>
          <w:sz w:val="18"/>
          <w:szCs w:val="18"/>
        </w:rPr>
        <w:t xml:space="preserve">* Confirm availability during schema discovery step.</w:t>
      </w:r>
    </w:p>
    <w:p>
      <w:pPr>
        <w:pStyle w:val="Heading2"/>
        <w:spacing w:after="160" w:before="240"/>
      </w:pPr>
      <w:r>
        <w:rPr>
          <w:rFonts w:ascii="Arial" w:cs="Arial" w:eastAsia="Arial" w:hAnsi="Arial"/>
          <w:b/>
          <w:bCs/>
          <w:color w:val="1A1A1A"/>
          <w:sz w:val="28"/>
          <w:szCs w:val="28"/>
        </w:rPr>
        <w:t xml:space="preserve">Parcel Cache Format Update</w:t>
      </w:r>
    </w:p>
    <w:p>
      <w:pPr>
        <w:spacing w:after="120"/>
      </w:pPr>
      <w:r>
        <w:rPr>
          <w:rFonts w:ascii="Arial" w:cs="Arial" w:eastAsia="Arial" w:hAnsi="Arial"/>
          <w:color w:val="555555"/>
          <w:sz w:val="22"/>
          <w:szCs w:val="22"/>
        </w:rPr>
        <w:t xml:space="preserve">The parcel cache files (clean-data/parcels/{arn}.json) gain new fields. Existing fields are preserved. The compiler writer should be updated to flow these through to the database where useful (e.g., parcel area to the properties table).</w:t>
      </w:r>
    </w:p>
    <w:p>
      <w:r>
        <w:br w:type="page"/>
      </w:r>
    </w:p>
    <w:p>
      <w:pPr>
        <w:pStyle w:val="Heading1"/>
        <w:spacing w:after="160" w:before="360"/>
      </w:pPr>
      <w:r>
        <w:rPr>
          <w:rFonts w:ascii="Arial" w:cs="Arial" w:eastAsia="Arial" w:hAnsi="Arial"/>
          <w:b/>
          <w:bCs/>
          <w:color w:val="1A1A1A"/>
          <w:sz w:val="32"/>
          <w:szCs w:val="32"/>
        </w:rPr>
        <w:t xml:space="preserve">Part 4: Implementation Phases</w:t>
      </w:r>
    </w:p>
    <w:p>
      <w:pPr>
        <w:pStyle w:val="Heading2"/>
        <w:spacing w:after="160" w:before="240"/>
      </w:pPr>
      <w:r>
        <w:rPr>
          <w:rFonts w:ascii="Arial" w:cs="Arial" w:eastAsia="Arial" w:hAnsi="Arial"/>
          <w:b/>
          <w:bCs/>
          <w:color w:val="1A1A1A"/>
          <w:sz w:val="28"/>
          <w:szCs w:val="28"/>
        </w:rPr>
        <w:t xml:space="preserve">Phase 0: Schema Discovery (1 hour)</w:t>
      </w:r>
    </w:p>
    <w:p>
      <w:pPr>
        <w:spacing w:after="120"/>
      </w:pPr>
      <w:r>
        <w:rPr>
          <w:rFonts w:ascii="Arial" w:cs="Arial" w:eastAsia="Arial" w:hAnsi="Arial"/>
          <w:color w:val="555555"/>
          <w:sz w:val="22"/>
          <w:szCs w:val="22"/>
        </w:rPr>
        <w:t xml:space="preserve">Before writing any code, run live test queries from your local machine to capture full API response schemas.</w:t>
      </w:r>
    </w:p>
    <w:p>
      <w:pPr>
        <w:pStyle w:val="ListParagraph"/>
        <w:numPr>
          <w:ilvl w:val="0"/>
          <w:numId w:val="3"/>
        </w:numPr>
        <w:spacing w:after="80"/>
      </w:pPr>
      <w:r>
        <w:rPr>
          <w:rFonts w:ascii="Arial" w:cs="Arial" w:eastAsia="Arial" w:hAnsi="Arial"/>
          <w:b/>
          <w:bCs/>
          <w:color w:val="1A1A1A"/>
          <w:sz w:val="22"/>
          <w:szCs w:val="22"/>
        </w:rPr>
        <w:t xml:space="preserve">Task 0a: </w:t>
      </w:r>
      <w:r>
        <w:rPr>
          <w:rFonts w:ascii="Arial" w:cs="Arial" w:eastAsia="Arial" w:hAnsi="Arial"/>
          <w:color w:val="555555"/>
          <w:sz w:val="22"/>
          <w:szCs w:val="22"/>
        </w:rPr>
        <w:t xml:space="preserve">Query Ontario geocoder for “107 Edward St, St Thomas, ON”. Print full raw JSON. Identify all attributes in candidates[0].attributes.</w:t>
      </w:r>
    </w:p>
    <w:p>
      <w:pPr>
        <w:pStyle w:val="ListParagraph"/>
        <w:numPr>
          <w:ilvl w:val="0"/>
          <w:numId w:val="3"/>
        </w:numPr>
        <w:spacing w:after="80"/>
      </w:pPr>
      <w:r>
        <w:rPr>
          <w:rFonts w:ascii="Arial" w:cs="Arial" w:eastAsia="Arial" w:hAnsi="Arial"/>
          <w:b/>
          <w:bCs/>
          <w:color w:val="1A1A1A"/>
          <w:sz w:val="22"/>
          <w:szCs w:val="22"/>
        </w:rPr>
        <w:t xml:space="preserve">Task 0b: </w:t>
      </w:r>
      <w:r>
        <w:rPr>
          <w:rFonts w:ascii="Arial" w:cs="Arial" w:eastAsia="Arial" w:hAnsi="Arial"/>
          <w:color w:val="555555"/>
          <w:sz w:val="22"/>
          <w:szCs w:val="22"/>
        </w:rPr>
        <w:t xml:space="preserve">Hit AgMaps service metadata endpoint ({BASE_URL}?f=json). Print field definitions. Also query a known ARN and print full feature attributes.</w:t>
      </w:r>
    </w:p>
    <w:p>
      <w:pPr>
        <w:pStyle w:val="ListParagraph"/>
        <w:numPr>
          <w:ilvl w:val="0"/>
          <w:numId w:val="3"/>
        </w:numPr>
        <w:spacing w:after="80"/>
      </w:pPr>
      <w:r>
        <w:rPr>
          <w:rFonts w:ascii="Arial" w:cs="Arial" w:eastAsia="Arial" w:hAnsi="Arial"/>
          <w:b/>
          <w:bCs/>
          <w:color w:val="1A1A1A"/>
          <w:sz w:val="22"/>
          <w:szCs w:val="22"/>
        </w:rPr>
        <w:t xml:space="preserve">Task 0c: </w:t>
      </w:r>
      <w:r>
        <w:rPr>
          <w:rFonts w:ascii="Arial" w:cs="Arial" w:eastAsia="Arial" w:hAnsi="Arial"/>
          <w:color w:val="555555"/>
          <w:sz w:val="22"/>
          <w:szCs w:val="22"/>
        </w:rPr>
        <w:t xml:space="preserve">Document findings. Update the enrichment capture lists above with confirmed fields.</w:t>
      </w:r>
    </w:p>
    <w:p>
      <w:pPr>
        <w:pStyle w:val="Heading2"/>
        <w:spacing w:after="160" w:before="240"/>
      </w:pPr>
      <w:r>
        <w:rPr>
          <w:rFonts w:ascii="Arial" w:cs="Arial" w:eastAsia="Arial" w:hAnsi="Arial"/>
          <w:b/>
          <w:bCs/>
          <w:color w:val="1A1A1A"/>
          <w:sz w:val="28"/>
          <w:szCs w:val="28"/>
        </w:rPr>
        <w:t xml:space="preserve">Phase 1: Build the Unified Resolver (3–4 days)</w:t>
      </w:r>
    </w:p>
    <w:p>
      <w:pPr>
        <w:spacing w:after="120"/>
      </w:pPr>
      <w:r>
        <w:rPr>
          <w:rFonts w:ascii="Arial" w:cs="Arial" w:eastAsia="Arial" w:hAnsi="Arial"/>
          <w:color w:val="555555"/>
          <w:sz w:val="22"/>
          <w:szCs w:val="22"/>
        </w:rPr>
        <w:t xml:space="preserve">Create cleo/resolver/ as a new Python package. Move shared infrastructure from engines/rt/parcel_resolver/ into it.</w:t>
      </w:r>
    </w:p>
    <w:p>
      <w:pPr>
        <w:pStyle w:val="ListParagraph"/>
        <w:numPr>
          <w:ilvl w:val="0"/>
          <w:numId w:val="3"/>
        </w:numPr>
        <w:spacing w:after="80"/>
      </w:pPr>
      <w:r>
        <w:rPr>
          <w:rFonts w:ascii="Arial" w:cs="Arial" w:eastAsia="Arial" w:hAnsi="Arial"/>
          <w:b/>
          <w:bCs/>
          <w:color w:val="1A1A1A"/>
          <w:sz w:val="22"/>
          <w:szCs w:val="22"/>
        </w:rPr>
        <w:t xml:space="preserve">Task 1a: </w:t>
      </w:r>
      <w:r>
        <w:rPr>
          <w:rFonts w:ascii="Arial" w:cs="Arial" w:eastAsia="Arial" w:hAnsi="Arial"/>
          <w:color w:val="555555"/>
          <w:sz w:val="22"/>
          <w:szCs w:val="22"/>
        </w:rPr>
        <w:t xml:space="preserve">Create cleo/resolver/types.py with ResolutionInput, ResolutionResult, GeocodeFull, Signal dataclasses.</w:t>
      </w:r>
    </w:p>
    <w:p>
      <w:pPr>
        <w:pStyle w:val="ListParagraph"/>
        <w:numPr>
          <w:ilvl w:val="0"/>
          <w:numId w:val="3"/>
        </w:numPr>
        <w:spacing w:after="80"/>
      </w:pPr>
      <w:r>
        <w:rPr>
          <w:rFonts w:ascii="Arial" w:cs="Arial" w:eastAsia="Arial" w:hAnsi="Arial"/>
          <w:b/>
          <w:bCs/>
          <w:color w:val="1A1A1A"/>
          <w:sz w:val="22"/>
          <w:szCs w:val="22"/>
        </w:rPr>
        <w:t xml:space="preserve">Task 1b: </w:t>
      </w:r>
      <w:r>
        <w:rPr>
          <w:rFonts w:ascii="Arial" w:cs="Arial" w:eastAsia="Arial" w:hAnsi="Arial"/>
          <w:color w:val="555555"/>
          <w:sz w:val="22"/>
          <w:szCs w:val="22"/>
        </w:rPr>
        <w:t xml:space="preserve">Move agmaps.py, cache.py, pin_bridge.py from engines/rt/parcel_resolver/ into cleo/resolver/. Update imports across codebase.</w:t>
      </w:r>
    </w:p>
    <w:p>
      <w:pPr>
        <w:pStyle w:val="ListParagraph"/>
        <w:numPr>
          <w:ilvl w:val="0"/>
          <w:numId w:val="3"/>
        </w:numPr>
        <w:spacing w:after="80"/>
      </w:pPr>
      <w:r>
        <w:rPr>
          <w:rFonts w:ascii="Arial" w:cs="Arial" w:eastAsia="Arial" w:hAnsi="Arial"/>
          <w:b/>
          <w:bCs/>
          <w:color w:val="1A1A1A"/>
          <w:sz w:val="22"/>
          <w:szCs w:val="22"/>
        </w:rPr>
        <w:t xml:space="preserve">Task 1c: </w:t>
      </w:r>
      <w:r>
        <w:rPr>
          <w:rFonts w:ascii="Arial" w:cs="Arial" w:eastAsia="Arial" w:hAnsi="Arial"/>
          <w:color w:val="555555"/>
          <w:sz w:val="22"/>
          <w:szCs w:val="22"/>
        </w:rPr>
        <w:t xml:space="preserve">Create cleo/resolver/geocoder.py as a wrapper around ontario_geocoder.py that captures ALL response fields.</w:t>
      </w:r>
    </w:p>
    <w:p>
      <w:pPr>
        <w:pStyle w:val="ListParagraph"/>
        <w:numPr>
          <w:ilvl w:val="0"/>
          <w:numId w:val="3"/>
        </w:numPr>
        <w:spacing w:after="80"/>
      </w:pPr>
      <w:r>
        <w:rPr>
          <w:rFonts w:ascii="Arial" w:cs="Arial" w:eastAsia="Arial" w:hAnsi="Arial"/>
          <w:b/>
          <w:bCs/>
          <w:color w:val="1A1A1A"/>
          <w:sz w:val="22"/>
          <w:szCs w:val="22"/>
        </w:rPr>
        <w:t xml:space="preserve">Task 1d: </w:t>
      </w:r>
      <w:r>
        <w:rPr>
          <w:rFonts w:ascii="Arial" w:cs="Arial" w:eastAsia="Arial" w:hAnsi="Arial"/>
          <w:color w:val="555555"/>
          <w:sz w:val="22"/>
          <w:szCs w:val="22"/>
        </w:rPr>
        <w:t xml:space="preserve">Create cleo/resolver/pip.py — extract the grid-based PIP logic from engines/osm/resolve_local.py into a reusable module.</w:t>
      </w:r>
    </w:p>
    <w:p>
      <w:pPr>
        <w:pStyle w:val="ListParagraph"/>
        <w:numPr>
          <w:ilvl w:val="0"/>
          <w:numId w:val="3"/>
        </w:numPr>
        <w:spacing w:after="80"/>
      </w:pPr>
      <w:r>
        <w:rPr>
          <w:rFonts w:ascii="Arial" w:cs="Arial" w:eastAsia="Arial" w:hAnsi="Arial"/>
          <w:b/>
          <w:bCs/>
          <w:color w:val="1A1A1A"/>
          <w:sz w:val="22"/>
          <w:szCs w:val="22"/>
        </w:rPr>
        <w:t xml:space="preserve">Task 1e: </w:t>
      </w:r>
      <w:r>
        <w:rPr>
          <w:rFonts w:ascii="Arial" w:cs="Arial" w:eastAsia="Arial" w:hAnsi="Arial"/>
          <w:color w:val="555555"/>
          <w:sz w:val="22"/>
          <w:szCs w:val="22"/>
        </w:rPr>
        <w:t xml:space="preserve">Create cleo/resolver/chain.py — implement the 6-step resolution chain with cross-validation and confidence scoring.</w:t>
      </w:r>
    </w:p>
    <w:p>
      <w:pPr>
        <w:pStyle w:val="ListParagraph"/>
        <w:numPr>
          <w:ilvl w:val="0"/>
          <w:numId w:val="3"/>
        </w:numPr>
        <w:spacing w:after="80"/>
      </w:pPr>
      <w:r>
        <w:rPr>
          <w:rFonts w:ascii="Arial" w:cs="Arial" w:eastAsia="Arial" w:hAnsi="Arial"/>
          <w:b/>
          <w:bCs/>
          <w:color w:val="1A1A1A"/>
          <w:sz w:val="22"/>
          <w:szCs w:val="22"/>
        </w:rPr>
        <w:t xml:space="preserve">Task 1f: </w:t>
      </w:r>
      <w:r>
        <w:rPr>
          <w:rFonts w:ascii="Arial" w:cs="Arial" w:eastAsia="Arial" w:hAnsi="Arial"/>
          <w:color w:val="555555"/>
          <w:sz w:val="22"/>
          <w:szCs w:val="22"/>
        </w:rPr>
        <w:t xml:space="preserve">Create cleo/resolver/__init__.py exposing resolve(input: ResolutionInput) -&gt; ResolutionResult.</w:t>
      </w:r>
    </w:p>
    <w:p>
      <w:pPr>
        <w:pStyle w:val="ListParagraph"/>
        <w:numPr>
          <w:ilvl w:val="0"/>
          <w:numId w:val="3"/>
        </w:numPr>
        <w:spacing w:after="80"/>
      </w:pPr>
      <w:r>
        <w:rPr>
          <w:rFonts w:ascii="Arial" w:cs="Arial" w:eastAsia="Arial" w:hAnsi="Arial"/>
          <w:b/>
          <w:bCs/>
          <w:color w:val="1A1A1A"/>
          <w:sz w:val="22"/>
          <w:szCs w:val="22"/>
        </w:rPr>
        <w:t xml:space="preserve">Task 1g: </w:t>
      </w:r>
      <w:r>
        <w:rPr>
          <w:rFonts w:ascii="Arial" w:cs="Arial" w:eastAsia="Arial" w:hAnsi="Arial"/>
          <w:color w:val="555555"/>
          <w:sz w:val="22"/>
          <w:szCs w:val="22"/>
        </w:rPr>
        <w:t xml:space="preserve">Write unit tests using known records (RT156261, RT100001, GW00400, OSM_02996) to verify correct resolution.</w:t>
      </w:r>
    </w:p>
    <w:p>
      <w:pPr>
        <w:pStyle w:val="Heading2"/>
        <w:spacing w:after="160" w:before="240"/>
      </w:pPr>
      <w:r>
        <w:rPr>
          <w:rFonts w:ascii="Arial" w:cs="Arial" w:eastAsia="Arial" w:hAnsi="Arial"/>
          <w:b/>
          <w:bCs/>
          <w:color w:val="1A1A1A"/>
          <w:sz w:val="28"/>
          <w:szCs w:val="28"/>
        </w:rPr>
        <w:t xml:space="preserve">Phase 2: Wire RT Pipeline (1–2 days)</w:t>
      </w:r>
    </w:p>
    <w:p>
      <w:pPr>
        <w:spacing w:after="120"/>
      </w:pPr>
      <w:r>
        <w:rPr>
          <w:rFonts w:ascii="Arial" w:cs="Arial" w:eastAsia="Arial" w:hAnsi="Arial"/>
          <w:color w:val="555555"/>
          <w:sz w:val="22"/>
          <w:szCs w:val="22"/>
        </w:rPr>
        <w:t xml:space="preserve">Replace the RT resolve step with a thin adapter that calls the unified service.</w:t>
      </w:r>
    </w:p>
    <w:p>
      <w:pPr>
        <w:pStyle w:val="ListParagraph"/>
        <w:numPr>
          <w:ilvl w:val="0"/>
          <w:numId w:val="3"/>
        </w:numPr>
        <w:spacing w:after="80"/>
      </w:pPr>
      <w:r>
        <w:rPr>
          <w:rFonts w:ascii="Arial" w:cs="Arial" w:eastAsia="Arial" w:hAnsi="Arial"/>
          <w:b/>
          <w:bCs/>
          <w:color w:val="1A1A1A"/>
          <w:sz w:val="22"/>
          <w:szCs w:val="22"/>
        </w:rPr>
        <w:t xml:space="preserve">Task 2a: </w:t>
      </w:r>
      <w:r>
        <w:rPr>
          <w:rFonts w:ascii="Arial" w:cs="Arial" w:eastAsia="Arial" w:hAnsi="Arial"/>
          <w:color w:val="555555"/>
          <w:sz w:val="22"/>
          <w:szCs w:val="22"/>
        </w:rPr>
        <w:t xml:space="preserve">Create engines/rt/parcel_resolver/adapter.py — reads addresses files, converts to ResolutionInput, calls resolve(), writes parcel_links files in the extended format.</w:t>
      </w:r>
    </w:p>
    <w:p>
      <w:pPr>
        <w:pStyle w:val="ListParagraph"/>
        <w:numPr>
          <w:ilvl w:val="0"/>
          <w:numId w:val="3"/>
        </w:numPr>
        <w:spacing w:after="80"/>
      </w:pPr>
      <w:r>
        <w:rPr>
          <w:rFonts w:ascii="Arial" w:cs="Arial" w:eastAsia="Arial" w:hAnsi="Arial"/>
          <w:b/>
          <w:bCs/>
          <w:color w:val="1A1A1A"/>
          <w:sz w:val="22"/>
          <w:szCs w:val="22"/>
        </w:rPr>
        <w:t xml:space="preserve">Task 2b: </w:t>
      </w:r>
      <w:r>
        <w:rPr>
          <w:rFonts w:ascii="Arial" w:cs="Arial" w:eastAsia="Arial" w:hAnsi="Arial"/>
          <w:color w:val="555555"/>
          <w:sz w:val="22"/>
          <w:szCs w:val="22"/>
        </w:rPr>
        <w:t xml:space="preserve">Update engines/rt/parcel_resolver/resolve_v2.py to delegate to the adapter while preserving checkpoint/resume logic, throttle handling, and progress reporting.</w:t>
      </w:r>
    </w:p>
    <w:p>
      <w:pPr>
        <w:pStyle w:val="ListParagraph"/>
        <w:numPr>
          <w:ilvl w:val="0"/>
          <w:numId w:val="3"/>
        </w:numPr>
        <w:spacing w:after="80"/>
      </w:pPr>
      <w:r>
        <w:rPr>
          <w:rFonts w:ascii="Arial" w:cs="Arial" w:eastAsia="Arial" w:hAnsi="Arial"/>
          <w:b/>
          <w:bCs/>
          <w:color w:val="1A1A1A"/>
          <w:sz w:val="22"/>
          <w:szCs w:val="22"/>
        </w:rPr>
        <w:t xml:space="preserve">Task 2c: </w:t>
      </w:r>
      <w:r>
        <w:rPr>
          <w:rFonts w:ascii="Arial" w:cs="Arial" w:eastAsia="Arial" w:hAnsi="Arial"/>
          <w:color w:val="555555"/>
          <w:sz w:val="22"/>
          <w:szCs w:val="22"/>
        </w:rPr>
        <w:t xml:space="preserve">Verify that engines/rt/compile.py reads the new parcel_links format correctly (new fields are additive, so this should work without changes).</w:t>
      </w:r>
    </w:p>
    <w:p>
      <w:pPr>
        <w:pStyle w:val="ListParagraph"/>
        <w:numPr>
          <w:ilvl w:val="0"/>
          <w:numId w:val="3"/>
        </w:numPr>
        <w:spacing w:after="80"/>
      </w:pPr>
      <w:r>
        <w:rPr>
          <w:rFonts w:ascii="Arial" w:cs="Arial" w:eastAsia="Arial" w:hAnsi="Arial"/>
          <w:b/>
          <w:bCs/>
          <w:color w:val="1A1A1A"/>
          <w:sz w:val="22"/>
          <w:szCs w:val="22"/>
        </w:rPr>
        <w:t xml:space="preserve">Task 2d: </w:t>
      </w:r>
      <w:r>
        <w:rPr>
          <w:rFonts w:ascii="Arial" w:cs="Arial" w:eastAsia="Arial" w:hAnsi="Arial"/>
          <w:color w:val="555555"/>
          <w:sz w:val="22"/>
          <w:szCs w:val="22"/>
        </w:rPr>
        <w:t xml:space="preserve">Run on 100 records with --limit 100 and verify results match expected parcels.</w:t>
      </w:r>
    </w:p>
    <w:p>
      <w:pPr>
        <w:pStyle w:val="Heading2"/>
        <w:spacing w:after="160" w:before="240"/>
      </w:pPr>
      <w:r>
        <w:rPr>
          <w:rFonts w:ascii="Arial" w:cs="Arial" w:eastAsia="Arial" w:hAnsi="Arial"/>
          <w:b/>
          <w:bCs/>
          <w:color w:val="1A1A1A"/>
          <w:sz w:val="28"/>
          <w:szCs w:val="28"/>
        </w:rPr>
        <w:t xml:space="preserve">Phase 3: Wire GW and OSM Pipelines (1 day)</w:t>
      </w:r>
    </w:p>
    <w:p>
      <w:pPr>
        <w:pStyle w:val="ListParagraph"/>
        <w:numPr>
          <w:ilvl w:val="0"/>
          <w:numId w:val="3"/>
        </w:numPr>
        <w:spacing w:after="80"/>
      </w:pPr>
      <w:r>
        <w:rPr>
          <w:rFonts w:ascii="Arial" w:cs="Arial" w:eastAsia="Arial" w:hAnsi="Arial"/>
          <w:b/>
          <w:bCs/>
          <w:color w:val="1A1A1A"/>
          <w:sz w:val="22"/>
          <w:szCs w:val="22"/>
        </w:rPr>
        <w:t xml:space="preserve">Task 3a: </w:t>
      </w:r>
      <w:r>
        <w:rPr>
          <w:rFonts w:ascii="Arial" w:cs="Arial" w:eastAsia="Arial" w:hAnsi="Arial"/>
          <w:color w:val="555555"/>
          <w:sz w:val="22"/>
          <w:szCs w:val="22"/>
        </w:rPr>
        <w:t xml:space="preserve">Replace engines/gw/resolve_parcels.py with adapter calling unified resolver. GW input is simple: just ARN + optional address for cross-validation.</w:t>
      </w:r>
    </w:p>
    <w:p>
      <w:pPr>
        <w:pStyle w:val="ListParagraph"/>
        <w:numPr>
          <w:ilvl w:val="0"/>
          <w:numId w:val="3"/>
        </w:numPr>
        <w:spacing w:after="80"/>
      </w:pPr>
      <w:r>
        <w:rPr>
          <w:rFonts w:ascii="Arial" w:cs="Arial" w:eastAsia="Arial" w:hAnsi="Arial"/>
          <w:b/>
          <w:bCs/>
          <w:color w:val="1A1A1A"/>
          <w:sz w:val="22"/>
          <w:szCs w:val="22"/>
        </w:rPr>
        <w:t xml:space="preserve">Task 3b: </w:t>
      </w:r>
      <w:r>
        <w:rPr>
          <w:rFonts w:ascii="Arial" w:cs="Arial" w:eastAsia="Arial" w:hAnsi="Arial"/>
          <w:color w:val="555555"/>
          <w:sz w:val="22"/>
          <w:szCs w:val="22"/>
        </w:rPr>
        <w:t xml:space="preserve">Replace engines/osm/resolve_pois_v2.py with adapter calling unified resolver. OSM input: coords + partial address.</w:t>
      </w:r>
    </w:p>
    <w:p>
      <w:pPr>
        <w:pStyle w:val="ListParagraph"/>
        <w:numPr>
          <w:ilvl w:val="0"/>
          <w:numId w:val="3"/>
        </w:numPr>
        <w:spacing w:after="80"/>
      </w:pPr>
      <w:r>
        <w:rPr>
          <w:rFonts w:ascii="Arial" w:cs="Arial" w:eastAsia="Arial" w:hAnsi="Arial"/>
          <w:b/>
          <w:bCs/>
          <w:color w:val="1A1A1A"/>
          <w:sz w:val="22"/>
          <w:szCs w:val="22"/>
        </w:rPr>
        <w:t xml:space="preserve">Task 3c: </w:t>
      </w:r>
      <w:r>
        <w:rPr>
          <w:rFonts w:ascii="Arial" w:cs="Arial" w:eastAsia="Arial" w:hAnsi="Arial"/>
          <w:color w:val="555555"/>
          <w:sz w:val="22"/>
          <w:szCs w:val="22"/>
        </w:rPr>
        <w:t xml:space="preserve">Verify GW watcher incremental updates still work.</w:t>
      </w:r>
    </w:p>
    <w:p>
      <w:pPr>
        <w:pStyle w:val="ListParagraph"/>
        <w:numPr>
          <w:ilvl w:val="0"/>
          <w:numId w:val="3"/>
        </w:numPr>
        <w:spacing w:after="80"/>
      </w:pPr>
      <w:r>
        <w:rPr>
          <w:rFonts w:ascii="Arial" w:cs="Arial" w:eastAsia="Arial" w:hAnsi="Arial"/>
          <w:b/>
          <w:bCs/>
          <w:color w:val="1A1A1A"/>
          <w:sz w:val="22"/>
          <w:szCs w:val="22"/>
        </w:rPr>
        <w:t xml:space="preserve">Task 3d: </w:t>
      </w:r>
      <w:r>
        <w:rPr>
          <w:rFonts w:ascii="Arial" w:cs="Arial" w:eastAsia="Arial" w:hAnsi="Arial"/>
          <w:color w:val="555555"/>
          <w:sz w:val="22"/>
          <w:szCs w:val="22"/>
        </w:rPr>
        <w:t xml:space="preserve">Run both pipelines on a sample and verify correct parcel assignment.</w:t>
      </w:r>
    </w:p>
    <w:p>
      <w:pPr>
        <w:pStyle w:val="Heading2"/>
        <w:spacing w:after="160" w:before="240"/>
      </w:pPr>
      <w:r>
        <w:rPr>
          <w:rFonts w:ascii="Arial" w:cs="Arial" w:eastAsia="Arial" w:hAnsi="Arial"/>
          <w:b/>
          <w:bCs/>
          <w:color w:val="1A1A1A"/>
          <w:sz w:val="28"/>
          <w:szCs w:val="28"/>
        </w:rPr>
        <w:t xml:space="preserve">Phase 4: Full RT Reprocessing (2–3 days runtime)</w:t>
      </w:r>
    </w:p>
    <w:p>
      <w:pPr>
        <w:spacing w:after="120"/>
      </w:pPr>
      <w:r>
        <w:rPr>
          <w:rFonts w:ascii="Arial" w:cs="Arial" w:eastAsia="Arial" w:hAnsi="Arial"/>
          <w:color w:val="555555"/>
          <w:sz w:val="22"/>
          <w:szCs w:val="22"/>
        </w:rPr>
        <w:t xml:space="preserve">Reprocess all 124,544 RT records through the unified resolver with Ontario geocoder cross-validation.</w:t>
      </w:r>
    </w:p>
    <w:p>
      <w:pPr>
        <w:pStyle w:val="ListParagraph"/>
        <w:numPr>
          <w:ilvl w:val="0"/>
          <w:numId w:val="3"/>
        </w:numPr>
        <w:spacing w:after="80"/>
      </w:pPr>
      <w:r>
        <w:rPr>
          <w:rFonts w:ascii="Arial" w:cs="Arial" w:eastAsia="Arial" w:hAnsi="Arial"/>
          <w:b/>
          <w:bCs/>
          <w:color w:val="1A1A1A"/>
          <w:sz w:val="22"/>
          <w:szCs w:val="22"/>
        </w:rPr>
        <w:t xml:space="preserve">Task 4a: </w:t>
      </w:r>
      <w:r>
        <w:rPr>
          <w:rFonts w:ascii="Arial" w:cs="Arial" w:eastAsia="Arial" w:hAnsi="Arial"/>
          <w:color w:val="555555"/>
          <w:sz w:val="22"/>
          <w:szCs w:val="22"/>
        </w:rPr>
        <w:t xml:space="preserve">Run resolve_v2.py --reprocess. Estimated 2–3 days at ~1.5 records/sec. The checkpoint/resume system handles restarts automatically.</w:t>
      </w:r>
    </w:p>
    <w:p>
      <w:pPr>
        <w:pStyle w:val="ListParagraph"/>
        <w:numPr>
          <w:ilvl w:val="0"/>
          <w:numId w:val="3"/>
        </w:numPr>
        <w:spacing w:after="80"/>
      </w:pPr>
      <w:r>
        <w:rPr>
          <w:rFonts w:ascii="Arial" w:cs="Arial" w:eastAsia="Arial" w:hAnsi="Arial"/>
          <w:b/>
          <w:bCs/>
          <w:color w:val="1A1A1A"/>
          <w:sz w:val="22"/>
          <w:szCs w:val="22"/>
        </w:rPr>
        <w:t xml:space="preserve">Task 4b: </w:t>
      </w:r>
      <w:r>
        <w:rPr>
          <w:rFonts w:ascii="Arial" w:cs="Arial" w:eastAsia="Arial" w:hAnsi="Arial"/>
          <w:color w:val="555555"/>
          <w:sz w:val="22"/>
          <w:szCs w:val="22"/>
        </w:rPr>
        <w:t xml:space="preserve">Monitor progress via the built-in checkpoint reporting (every 500 records). Track method distribution shift — arn_unverified should drop from 61.5% to near zero.</w:t>
      </w:r>
    </w:p>
    <w:p>
      <w:pPr>
        <w:pStyle w:val="ListParagraph"/>
        <w:numPr>
          <w:ilvl w:val="0"/>
          <w:numId w:val="3"/>
        </w:numPr>
        <w:spacing w:after="80"/>
      </w:pPr>
      <w:r>
        <w:rPr>
          <w:rFonts w:ascii="Arial" w:cs="Arial" w:eastAsia="Arial" w:hAnsi="Arial"/>
          <w:b/>
          <w:bCs/>
          <w:color w:val="1A1A1A"/>
          <w:sz w:val="22"/>
          <w:szCs w:val="22"/>
        </w:rPr>
        <w:t xml:space="preserve">Task 4c: </w:t>
      </w:r>
      <w:r>
        <w:rPr>
          <w:rFonts w:ascii="Arial" w:cs="Arial" w:eastAsia="Arial" w:hAnsi="Arial"/>
          <w:color w:val="555555"/>
          <w:sz w:val="22"/>
          <w:szCs w:val="22"/>
        </w:rPr>
        <w:t xml:space="preserve">After completion, recompile: python -m cleo.compiler. This rebuilds the database with the new parcel links.</w:t>
      </w:r>
    </w:p>
    <w:p>
      <w:pPr>
        <w:pStyle w:val="ListParagraph"/>
        <w:numPr>
          <w:ilvl w:val="0"/>
          <w:numId w:val="3"/>
        </w:numPr>
        <w:spacing w:after="80"/>
      </w:pPr>
      <w:r>
        <w:rPr>
          <w:rFonts w:ascii="Arial" w:cs="Arial" w:eastAsia="Arial" w:hAnsi="Arial"/>
          <w:b/>
          <w:bCs/>
          <w:color w:val="1A1A1A"/>
          <w:sz w:val="22"/>
          <w:szCs w:val="22"/>
        </w:rPr>
        <w:t xml:space="preserve">Task 4d: </w:t>
      </w:r>
      <w:r>
        <w:rPr>
          <w:rFonts w:ascii="Arial" w:cs="Arial" w:eastAsia="Arial" w:hAnsi="Arial"/>
          <w:color w:val="555555"/>
          <w:sz w:val="22"/>
          <w:szCs w:val="22"/>
        </w:rPr>
        <w:t xml:space="preserve">Generate a comparison report: before vs. after method distribution, confidence distribution, records that changed parcels.</w:t>
      </w:r>
    </w:p>
    <w:p>
      <w:pPr>
        <w:pStyle w:val="Heading2"/>
        <w:spacing w:after="160" w:before="240"/>
      </w:pPr>
      <w:r>
        <w:rPr>
          <w:rFonts w:ascii="Arial" w:cs="Arial" w:eastAsia="Arial" w:hAnsi="Arial"/>
          <w:b/>
          <w:bCs/>
          <w:color w:val="1A1A1A"/>
          <w:sz w:val="28"/>
          <w:szCs w:val="28"/>
        </w:rPr>
        <w:t xml:space="preserve">Phase 5: Verification and Audit (1 day)</w:t>
      </w:r>
    </w:p>
    <w:p>
      <w:pPr>
        <w:pStyle w:val="ListParagraph"/>
        <w:numPr>
          <w:ilvl w:val="0"/>
          <w:numId w:val="3"/>
        </w:numPr>
        <w:spacing w:after="80"/>
      </w:pPr>
      <w:r>
        <w:rPr>
          <w:rFonts w:ascii="Arial" w:cs="Arial" w:eastAsia="Arial" w:hAnsi="Arial"/>
          <w:b/>
          <w:bCs/>
          <w:color w:val="1A1A1A"/>
          <w:sz w:val="22"/>
          <w:szCs w:val="22"/>
        </w:rPr>
        <w:t xml:space="preserve">Task 5a: </w:t>
      </w:r>
      <w:r>
        <w:rPr>
          <w:rFonts w:ascii="Arial" w:cs="Arial" w:eastAsia="Arial" w:hAnsi="Arial"/>
          <w:color w:val="555555"/>
          <w:sz w:val="22"/>
          <w:szCs w:val="22"/>
        </w:rPr>
        <w:t xml:space="preserve">Spot-check known problem cases (RT156261 Shoppers/Rona, plus 10–20 randomly sampled records that changed parcels).</w:t>
      </w:r>
    </w:p>
    <w:p>
      <w:pPr>
        <w:pStyle w:val="ListParagraph"/>
        <w:numPr>
          <w:ilvl w:val="0"/>
          <w:numId w:val="3"/>
        </w:numPr>
        <w:spacing w:after="80"/>
      </w:pPr>
      <w:r>
        <w:rPr>
          <w:rFonts w:ascii="Arial" w:cs="Arial" w:eastAsia="Arial" w:hAnsi="Arial"/>
          <w:b/>
          <w:bCs/>
          <w:color w:val="1A1A1A"/>
          <w:sz w:val="22"/>
          <w:szCs w:val="22"/>
        </w:rPr>
        <w:t xml:space="preserve">Task 5b: </w:t>
      </w:r>
      <w:r>
        <w:rPr>
          <w:rFonts w:ascii="Arial" w:cs="Arial" w:eastAsia="Arial" w:hAnsi="Arial"/>
          <w:color w:val="555555"/>
          <w:sz w:val="22"/>
          <w:szCs w:val="22"/>
        </w:rPr>
        <w:t xml:space="preserve">Run POI cross-validation: for every property with both RT transactions and POIs, check if the RT parcel matches the POI parcel. Flag disagreements.</w:t>
      </w:r>
    </w:p>
    <w:p>
      <w:pPr>
        <w:pStyle w:val="ListParagraph"/>
        <w:numPr>
          <w:ilvl w:val="0"/>
          <w:numId w:val="3"/>
        </w:numPr>
        <w:spacing w:after="80"/>
      </w:pPr>
      <w:r>
        <w:rPr>
          <w:rFonts w:ascii="Arial" w:cs="Arial" w:eastAsia="Arial" w:hAnsi="Arial"/>
          <w:b/>
          <w:bCs/>
          <w:color w:val="1A1A1A"/>
          <w:sz w:val="22"/>
          <w:szCs w:val="22"/>
        </w:rPr>
        <w:t xml:space="preserve">Task 5c: </w:t>
      </w:r>
      <w:r>
        <w:rPr>
          <w:rFonts w:ascii="Arial" w:cs="Arial" w:eastAsia="Arial" w:hAnsi="Arial"/>
          <w:color w:val="555555"/>
          <w:sz w:val="22"/>
          <w:szCs w:val="22"/>
        </w:rPr>
        <w:t xml:space="preserve">Generate a confidence distribution report. Identify the tail: records with confidence &lt; 0.5 need manual review.</w:t>
      </w:r>
    </w:p>
    <w:p>
      <w:pPr>
        <w:pStyle w:val="ListParagraph"/>
        <w:numPr>
          <w:ilvl w:val="0"/>
          <w:numId w:val="3"/>
        </w:numPr>
        <w:spacing w:after="80"/>
      </w:pPr>
      <w:r>
        <w:rPr>
          <w:rFonts w:ascii="Arial" w:cs="Arial" w:eastAsia="Arial" w:hAnsi="Arial"/>
          <w:b/>
          <w:bCs/>
          <w:color w:val="1A1A1A"/>
          <w:sz w:val="22"/>
          <w:szCs w:val="22"/>
        </w:rPr>
        <w:t xml:space="preserve">Task 5d: </w:t>
      </w:r>
      <w:r>
        <w:rPr>
          <w:rFonts w:ascii="Arial" w:cs="Arial" w:eastAsia="Arial" w:hAnsi="Arial"/>
          <w:color w:val="555555"/>
          <w:sz w:val="22"/>
          <w:szCs w:val="22"/>
        </w:rPr>
        <w:t xml:space="preserve">Update CLAUDE.md with the new module location, resolution chain documentation, and the NO TARGETED FIXES policy.</w:t>
      </w:r>
    </w:p>
    <w:p>
      <w:r>
        <w:br w:type="page"/>
      </w:r>
    </w:p>
    <w:p>
      <w:pPr>
        <w:pStyle w:val="Heading1"/>
        <w:spacing w:after="160" w:before="360"/>
      </w:pPr>
      <w:r>
        <w:rPr>
          <w:rFonts w:ascii="Arial" w:cs="Arial" w:eastAsia="Arial" w:hAnsi="Arial"/>
          <w:b/>
          <w:bCs/>
          <w:color w:val="1A1A1A"/>
          <w:sz w:val="32"/>
          <w:szCs w:val="32"/>
        </w:rPr>
        <w:t xml:space="preserve">Part 5: Operating Principles</w:t>
      </w:r>
    </w:p>
    <w:p>
      <w:pPr>
        <w:pStyle w:val="Heading2"/>
        <w:spacing w:after="160" w:before="240"/>
      </w:pPr>
      <w:r>
        <w:rPr>
          <w:rFonts w:ascii="Arial" w:cs="Arial" w:eastAsia="Arial" w:hAnsi="Arial"/>
          <w:b/>
          <w:bCs/>
          <w:color w:val="1A1A1A"/>
          <w:sz w:val="28"/>
          <w:szCs w:val="28"/>
        </w:rPr>
        <w:t xml:space="preserve">No Targeted Fixes</w:t>
      </w:r>
    </w:p>
    <w:p>
      <w:pPr>
        <w:spacing w:after="120"/>
      </w:pPr>
      <w:r>
        <w:rPr>
          <w:rFonts w:ascii="Arial" w:cs="Arial" w:eastAsia="Arial" w:hAnsi="Arial"/>
          <w:color w:val="555555"/>
          <w:sz w:val="22"/>
          <w:szCs w:val="22"/>
        </w:rPr>
        <w:t xml:space="preserve">This is a project-wide policy going into CLAUDE.md. When a parcel resolution issue is found, the fix goes into the unified resolver module — never as a one-off patch in a specific pipeline. If the fix is in cleo/resolver/, it benefits all sources. If it’s anywhere else, it’s in the wrong place.</w:t>
      </w:r>
    </w:p>
    <w:p>
      <w:pPr>
        <w:pStyle w:val="Heading2"/>
        <w:spacing w:after="160" w:before="240"/>
      </w:pPr>
      <w:r>
        <w:rPr>
          <w:rFonts w:ascii="Arial" w:cs="Arial" w:eastAsia="Arial" w:hAnsi="Arial"/>
          <w:b/>
          <w:bCs/>
          <w:color w:val="1A1A1A"/>
          <w:sz w:val="28"/>
          <w:szCs w:val="28"/>
        </w:rPr>
        <w:t xml:space="preserve">POI Coordinates Are Ground Truth</w:t>
      </w:r>
    </w:p>
    <w:p>
      <w:pPr>
        <w:spacing w:after="120"/>
      </w:pPr>
      <w:r>
        <w:rPr>
          <w:rFonts w:ascii="Arial" w:cs="Arial" w:eastAsia="Arial" w:hAnsi="Arial"/>
          <w:color w:val="555555"/>
          <w:sz w:val="22"/>
          <w:szCs w:val="22"/>
        </w:rPr>
        <w:t xml:space="preserve">OSM POI coordinates land on rooftops and are the most spatially accurate data we have. When a POI and an RT transaction both claim to be at the same address but resolve to different parcels, the POI’s parcel is considered correct. The unified resolver encodes this in its decision hierarchy.</w:t>
      </w:r>
    </w:p>
    <w:p>
      <w:pPr>
        <w:pStyle w:val="Heading2"/>
        <w:spacing w:after="160" w:before="240"/>
      </w:pPr>
      <w:r>
        <w:rPr>
          <w:rFonts w:ascii="Arial" w:cs="Arial" w:eastAsia="Arial" w:hAnsi="Arial"/>
          <w:b/>
          <w:bCs/>
          <w:color w:val="1A1A1A"/>
          <w:sz w:val="28"/>
          <w:szCs w:val="28"/>
        </w:rPr>
        <w:t xml:space="preserve">Never Trust a Single Signal</w:t>
      </w:r>
    </w:p>
    <w:p>
      <w:pPr>
        <w:spacing w:after="120"/>
      </w:pPr>
      <w:r>
        <w:rPr>
          <w:rFonts w:ascii="Arial" w:cs="Arial" w:eastAsia="Arial" w:hAnsi="Arial"/>
          <w:color w:val="555555"/>
          <w:sz w:val="22"/>
          <w:szCs w:val="22"/>
        </w:rPr>
        <w:t xml:space="preserve">The old RT resolver trusted ARN alone for 61.5% of records. The unified resolver always attempts to collect at least two independent signals (ARN + geocode, or geocode + PIP) and cross-validates them. Single-signal resolutions receive lower confidence scores.</w:t>
      </w:r>
    </w:p>
    <w:p>
      <w:pPr>
        <w:pStyle w:val="Heading2"/>
        <w:spacing w:after="160" w:before="240"/>
      </w:pPr>
      <w:r>
        <w:rPr>
          <w:rFonts w:ascii="Arial" w:cs="Arial" w:eastAsia="Arial" w:hAnsi="Arial"/>
          <w:b/>
          <w:bCs/>
          <w:color w:val="1A1A1A"/>
          <w:sz w:val="28"/>
          <w:szCs w:val="28"/>
        </w:rPr>
        <w:t xml:space="preserve">Capture Everything, Use Later</w:t>
      </w:r>
    </w:p>
    <w:p>
      <w:pPr>
        <w:spacing w:after="120"/>
      </w:pPr>
      <w:r>
        <w:rPr>
          <w:rFonts w:ascii="Arial" w:cs="Arial" w:eastAsia="Arial" w:hAnsi="Arial"/>
          <w:color w:val="555555"/>
          <w:sz w:val="22"/>
          <w:szCs w:val="22"/>
        </w:rPr>
        <w:t xml:space="preserve">When querying external APIs (Ontario geocoder, AgMaps), capture the full response — even fields we don’t use today. Storage is cheap; re-querying 124K records is expensive. The parcel cache and geocode results should be treated as a permanent enrichment store.</w:t>
      </w:r>
    </w:p>
    <w:p>
      <w:pPr>
        <w:pStyle w:val="Heading2"/>
        <w:spacing w:after="160" w:before="240"/>
      </w:pPr>
      <w:r>
        <w:rPr>
          <w:rFonts w:ascii="Arial" w:cs="Arial" w:eastAsia="Arial" w:hAnsi="Arial"/>
          <w:b/>
          <w:bCs/>
          <w:color w:val="1A1A1A"/>
          <w:sz w:val="28"/>
          <w:szCs w:val="28"/>
        </w:rPr>
        <w:t xml:space="preserve">The Parcel Cache Is Permanent</w:t>
      </w:r>
    </w:p>
    <w:p>
      <w:pPr>
        <w:spacing w:after="120"/>
      </w:pPr>
      <w:r>
        <w:rPr>
          <w:rFonts w:ascii="Arial" w:cs="Arial" w:eastAsia="Arial" w:hAnsi="Arial"/>
          <w:color w:val="555555"/>
          <w:sz w:val="22"/>
          <w:szCs w:val="22"/>
        </w:rPr>
        <w:t xml:space="preserve">clean-data/parcels/ is a growing, permanent cache of parcel geometries. It is never cleared. All three pipelines read from and write to it. With 98K cached parcels, most resolutions are instant cache hits. The unified resolver’s cache module becomes the single point of access.</w:t>
      </w:r>
    </w:p>
    <w:p>
      <w:r>
        <w:br w:type="page"/>
      </w:r>
    </w:p>
    <w:p>
      <w:pPr>
        <w:pStyle w:val="Heading1"/>
        <w:spacing w:after="160" w:before="360"/>
      </w:pPr>
      <w:r>
        <w:rPr>
          <w:rFonts w:ascii="Arial" w:cs="Arial" w:eastAsia="Arial" w:hAnsi="Arial"/>
          <w:b/>
          <w:bCs/>
          <w:color w:val="1A1A1A"/>
          <w:sz w:val="32"/>
          <w:szCs w:val="32"/>
        </w:rPr>
        <w:t xml:space="preserve">Part 6: Timeline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Phase</w:t>
            </w:r>
          </w:p>
        </w:tc>
        <w:tc>
          <w:tcPr>
            <w:tcW w:type="dxa" w:w="180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Duration</w:t>
            </w:r>
          </w:p>
        </w:tc>
        <w:tc>
          <w:tcPr>
            <w:tcW w:type="dxa" w:w="4160"/>
            <w:tcBorders>
              <w:top w:val="single" w:color="CCCCCC" w:sz="1"/>
              <w:left w:val="single" w:color="CCCCCC" w:sz="1"/>
              <w:bottom w:val="single" w:color="CCCCCC" w:sz="1"/>
              <w:right w:val="single" w:color="CCCCCC" w:sz="1"/>
            </w:tcBorders>
            <w:shd w:fill="F0F5F2" w:val="clear"/>
            <w:tcMar>
              <w:top w:type="dxa" w:w="60"/>
              <w:left w:type="dxa" w:w="100"/>
              <w:bottom w:type="dxa" w:w="60"/>
              <w:right w:type="dxa" w:w="100"/>
            </w:tcMar>
          </w:tcPr>
          <w:p>
            <w:r>
              <w:rPr>
                <w:rFonts w:ascii="Arial" w:cs="Arial" w:eastAsia="Arial" w:hAnsi="Arial"/>
                <w:b/>
                <w:bCs/>
                <w:color w:val="2E7D5B"/>
                <w:sz w:val="20"/>
                <w:szCs w:val="20"/>
              </w:rPr>
              <w:t xml:space="preserve">Dependency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0: Schema Discovery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 hour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None — do this first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1: Build Unified Resolver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3–4 days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0 (need field list for enrichment)</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2: Wire RT Pipeline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1–2 days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1</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3: Wire GW + OSM Pipelines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 day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1 (can parallel with Phase 2)</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4: Full RT Reprocessing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2–3 days (runtime)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2 (mostly unattended)</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5: Verification + Audit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 day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Phase 4</w:t>
            </w:r>
          </w:p>
        </w:tc>
      </w:tr>
    </w:tbl>
    <w:p>
      <w:pPr>
        <w:spacing w:after="120"/>
      </w:pPr>
      <w:r>
        <w:rPr>
          <w:rFonts w:ascii="Arial" w:cs="Arial" w:eastAsia="Arial" w:hAnsi="Arial"/>
          <w:color w:val="555555"/>
          <w:sz w:val="22"/>
          <w:szCs w:val="22"/>
        </w:rPr>
        <w:t xml:space="preserve"/>
      </w:r>
    </w:p>
    <w:p>
      <w:pPr>
        <w:spacing w:after="120"/>
      </w:pPr>
      <w:r>
        <w:rPr>
          <w:rFonts w:ascii="Arial" w:cs="Arial" w:eastAsia="Arial" w:hAnsi="Arial"/>
          <w:color w:val="555555"/>
          <w:sz w:val="22"/>
          <w:szCs w:val="22"/>
        </w:rPr>
        <w:t xml:space="preserve">Total hands-on effort: ~7–10 days. Total calendar time: ~10–14 days (Phase 4 runs unattended). The unified resolver can be tested and validated before the full reprocessing begins.</w:t>
      </w:r>
    </w:p>
    <w:p>
      <w:pPr>
        <w:pBdr>
          <w:bottom w:val="single" w:color="DDDDDD" w:sz="2" w:space="8"/>
        </w:pBdr>
        <w:spacing w:after="200" w:before="200"/>
      </w:pPr>
    </w:p>
    <w:p>
      <w:pPr>
        <w:pStyle w:val="Heading2"/>
        <w:spacing w:after="160" w:before="240"/>
      </w:pPr>
      <w:r>
        <w:rPr>
          <w:rFonts w:ascii="Arial" w:cs="Arial" w:eastAsia="Arial" w:hAnsi="Arial"/>
          <w:b/>
          <w:bCs/>
          <w:color w:val="1A1A1A"/>
          <w:sz w:val="28"/>
          <w:szCs w:val="28"/>
        </w:rPr>
        <w:t xml:space="preserve">Next Steps</w:t>
      </w:r>
    </w:p>
    <w:p>
      <w:pPr>
        <w:pStyle w:val="ListParagraph"/>
        <w:numPr>
          <w:ilvl w:val="0"/>
          <w:numId w:val="4"/>
        </w:numPr>
        <w:spacing w:after="80"/>
      </w:pPr>
      <w:r>
        <w:rPr>
          <w:rFonts w:ascii="Arial" w:cs="Arial" w:eastAsia="Arial" w:hAnsi="Arial"/>
          <w:color w:val="555555"/>
          <w:sz w:val="22"/>
          <w:szCs w:val="22"/>
        </w:rPr>
        <w:t xml:space="preserve">Review this plan. Flag anything that needs adjustment before we start.</w:t>
      </w:r>
    </w:p>
    <w:p>
      <w:pPr>
        <w:pStyle w:val="ListParagraph"/>
        <w:numPr>
          <w:ilvl w:val="0"/>
          <w:numId w:val="4"/>
        </w:numPr>
        <w:spacing w:after="80"/>
      </w:pPr>
      <w:r>
        <w:rPr>
          <w:rFonts w:ascii="Arial" w:cs="Arial" w:eastAsia="Arial" w:hAnsi="Arial"/>
          <w:color w:val="555555"/>
          <w:sz w:val="22"/>
          <w:szCs w:val="22"/>
        </w:rPr>
        <w:t xml:space="preserve">Run Phase 0 (schema discovery) from your machine. Share the raw API responses.</w:t>
      </w:r>
    </w:p>
    <w:p>
      <w:pPr>
        <w:pStyle w:val="ListParagraph"/>
        <w:numPr>
          <w:ilvl w:val="0"/>
          <w:numId w:val="4"/>
        </w:numPr>
        <w:spacing w:after="80"/>
      </w:pPr>
      <w:r>
        <w:rPr>
          <w:rFonts w:ascii="Arial" w:cs="Arial" w:eastAsia="Arial" w:hAnsi="Arial"/>
          <w:color w:val="555555"/>
          <w:sz w:val="22"/>
          <w:szCs w:val="22"/>
        </w:rPr>
        <w:t xml:space="preserve">Begin Phase 1 implementation. Start with types.py and the module move.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Cleo Turbo — Unified Parcel Resolution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2026-04-10T19:55:31.849Z</dcterms:created>
  <dcterms:modified xsi:type="dcterms:W3CDTF">2026-04-10T19:55:31.849Z</dcterms:modified>
</cp:coreProperties>
</file>

<file path=docProps/custom.xml><?xml version="1.0" encoding="utf-8"?>
<Properties xmlns="http://schemas.openxmlformats.org/officeDocument/2006/custom-properties" xmlns:vt="http://schemas.openxmlformats.org/officeDocument/2006/docPropsVTypes"/>
</file>