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40"/>
          <w:szCs w:val="40"/>
        </w:rPr>
        <w:t xml:space="preserve">Portfolio Capture: Cowork-to-Cleo Integration</w:t>
      </w:r>
    </w:p>
    <w:p>
      <w:pPr>
        <w:pBdr>
          <w:bottom w:val="single" w:color="2E5A88" w:sz="8" w:space="2"/>
        </w:pBdr>
        <w:spacing w:after="40"/>
      </w:pPr>
      <w:r>
        <w:rPr>
          <w:color w:val="555555"/>
          <w:sz w:val="22"/>
          <w:szCs w:val="22"/>
        </w:rPr>
        <w:t xml:space="preserve">Build specification (locked)</w:t>
      </w:r>
    </w:p>
    <w:p>
      <w:pPr>
        <w:spacing w:after="60" w:before="120"/>
      </w:pPr>
      <w:r>
        <w:rPr>
          <w:color w:val="555555"/>
          <w:sz w:val="19"/>
          <w:szCs w:val="19"/>
        </w:rPr>
        <w:t xml:space="preserve">Project: Cleo Turbo      Prepared: June 30, 2026      Status: Approved for build      Owner: Brandon Olsen</w:t>
      </w:r>
    </w:p>
    <w:p>
      <w:pPr>
        <w:spacing w:after="200"/>
      </w:pPr>
      <w:r>
        <w:rPr>
          <w:i/>
          <w:iCs/>
          <w:color w:val="555555"/>
          <w:sz w:val="19"/>
          <w:szCs w:val="19"/>
        </w:rPr>
        <w:t xml:space="preserve">This is an implementation specification, not a discussion document. All design decisions are settled in Section 2. A developer (or Claude) can build directly from Sections 5 through 13.</w:t>
      </w:r>
    </w:p>
    <w:sdt>
      <w:sdtPr>
        <w:alias w:val="Contents"/>
      </w:sdtPr>
      <w:sdtContent>
        <w:p>
          <w:r>
            <w:fldChar w:fldCharType="begin" w:dirty="true"/>
            <w:instrText xml:space="preserve">TOC \h \o "1-2"</w:instrText>
            <w:fldChar w:fldCharType="separate"/>
          </w:r>
        </w:p>
        <w:p>
          <w:r>
            <w:fldChar w:fldCharType="end"/>
          </w:r>
        </w:p>
      </w:sdtContent>
    </w:sdt>
    <w:p>
      <w:pPr>
        <w:pageBreakBefore/>
      </w:pPr>
      <w:r>
        <w:t xml:space="preserve"/>
      </w:r>
    </w:p>
    <w:p>
      <w:pPr>
        <w:pStyle w:val="Heading1"/>
      </w:pPr>
      <w:r>
        <w:t xml:space="preserve">1. Purpose and scope</w:t>
      </w:r>
    </w:p>
    <w:p>
      <w:pPr>
        <w:spacing w:after="120" w:line="276"/>
      </w:pPr>
      <w:r>
        <w:t xml:space="preserve">Provide one standardized pipeline that takes owner intelligence gathered in a Claude Cowork session (company websites, GeoWarehouse exports, Realtrack party data, reverse-address research) and commits it into Cleo Turbo through a single validated path, consistently filling gaps in ownership data.</w:t>
      </w:r>
    </w:p>
    <w:p>
      <w:pPr>
        <w:spacing w:after="120" w:line="276"/>
      </w:pPr>
      <w:r>
        <w:rPr>
          <w:b/>
          <w:bCs/>
        </w:rPr>
        <w:t xml:space="preserve">In scope: </w:t>
      </w:r>
      <w:r>
        <w:t xml:space="preserve">the capture contract, the commit endpoint, the reconcile behavior, the match-key sweep, the Cowork producer skill, and the Biddington pilot.</w:t>
      </w:r>
    </w:p>
    <w:p>
      <w:pPr>
        <w:spacing w:after="120" w:line="276"/>
      </w:pPr>
      <w:r>
        <w:rPr>
          <w:b/>
          <w:bCs/>
        </w:rPr>
        <w:t xml:space="preserve">Out of scope: </w:t>
      </w:r>
      <w:r>
        <w:t xml:space="preserve">changes to the Realtrack or GeoWarehouse ingest engines, UI work beyond a review view, and HubSpot sync. These are noted where they touch the design but are not built here.</w:t>
      </w:r>
    </w:p>
    <w:p>
      <w:pPr>
        <w:pStyle w:val="Heading1"/>
      </w:pPr>
      <w:r>
        <w:t xml:space="preserve">2. Decisions (locked)</w:t>
      </w:r>
    </w:p>
    <w:p>
      <w:pPr>
        <w:spacing w:after="120" w:line="276"/>
      </w:pPr>
      <w:r>
        <w:t xml:space="preserve">These were the open questions in the prior draft. They are now decided.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rPr>
          <w:tblHeader/>
        </w:trPr>
        <w:tc>
          <w:tcPr>
            <w:tcW w:type="dxa" w:w="70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tcPr>
          <w:p>
            <w:r>
              <w:rPr>
                <w:b/>
                <w:bCs/>
                <w:color w:val="FFFFFF"/>
                <w:sz w:val="18"/>
                <w:szCs w:val="18"/>
              </w:rPr>
              <w:t xml:space="preserve">#</w:t>
            </w:r>
          </w:p>
        </w:tc>
        <w:tc>
          <w:tcPr>
            <w:tcW w:type="dxa" w:w="300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tcPr>
          <w:p>
            <w:r>
              <w:rPr>
                <w:b/>
                <w:bCs/>
                <w:color w:val="FFFFFF"/>
                <w:sz w:val="18"/>
                <w:szCs w:val="18"/>
              </w:rPr>
              <w:t xml:space="preserve">Decision</w:t>
            </w:r>
          </w:p>
        </w:tc>
        <w:tc>
          <w:tcPr>
            <w:tcW w:type="dxa" w:w="566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tcPr>
          <w:p>
            <w:r>
              <w:rPr>
                <w:b/>
                <w:bCs/>
                <w:color w:val="FFFFFF"/>
                <w:sz w:val="18"/>
                <w:szCs w:val="18"/>
              </w:rPr>
              <w:t xml:space="preserve">Rationale</w:t>
            </w:r>
          </w:p>
        </w:tc>
      </w:tr>
      <w:tr>
        <w:trPr>
          <w:tblHeader w:val="false"/>
        </w:trP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D1</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The commit entrypoint is a FastAPI route in cleo/web, not a CLI. Path: POST /api/portfolio/capture.</w:t>
            </w:r>
          </w:p>
        </w:tc>
        <w:tc>
          <w:tcPr>
            <w:tcW w:type="dxa" w:w="5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Single shared door for Cowork, the Cleo UI, and scripts. Matches the existing /api/* router pattern, auth, and get_db dependency.</w:t>
            </w:r>
          </w:p>
        </w:tc>
      </w:tr>
      <w:tr>
        <w:trPr>
          <w:tblHeader w:val="false"/>
        </w:trP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D2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Cowork calls the endpoint over localhost HTTP directly in v1. An MCP wrapper is deferred.</w:t>
            </w:r>
          </w:p>
        </w:tc>
        <w:tc>
          <w:tcPr>
            <w:tcW w:type="dxa" w:w="5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HTTP is the contract; an MCP tool would only wrap the same route. Ship the route first, wrap later if useful.</w:t>
            </w:r>
          </w:p>
        </w:tc>
      </w:tr>
      <w:tr>
        <w:trPr>
          <w:tblHeader w:val="false"/>
        </w:trP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D3</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The v1 match-key sweep keys on address and spv_name only. domain and phone are stored for identity and dedup but not swept.</w:t>
            </w:r>
          </w:p>
        </w:tc>
        <w:tc>
          <w:tcPr>
            <w:tcW w:type="dxa" w:w="5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Realtrack and GeoWarehouse parcel records carry mailing addresses and party/SPV names, not domains. Sweeping on a domain would match nothing in parcel data.</w:t>
            </w:r>
          </w:p>
        </w:tc>
      </w:tr>
      <w:tr>
        <w:trPr>
          <w:tblHeader w:val="false"/>
        </w:trP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D4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Auto-fill policy: registry_confirmed links auto-fill dark properties; web_asserted links auto-fill only at confidence &gt;= 0.90; anything lower, plus all conflicts, stages for review. Group merges are never automatic.</w:t>
            </w:r>
          </w:p>
        </w:tc>
        <w:tc>
          <w:tcPr>
            <w:tcW w:type="dxa" w:w="5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registry (GeoWarehouse) is authoritative and the reconciler already refuses to overwrite Realtrack owners. Merges change identity and stay human-approved.</w:t>
            </w:r>
          </w:p>
        </w:tc>
      </w:tr>
      <w:tr>
        <w:trPr>
          <w:tblHeader w:val="false"/>
        </w:trP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D5</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ARNs are never hand-scraped. GW-sourced parcels run through the existing engine (engines/gw: parse_gw_html then normalize_record), which emits the canonical 20-digit arn_api. Typed ARNs go through engines/rt normalize_arn. Capture links by that arn_api only.</w:t>
            </w:r>
          </w:p>
        </w:tc>
        <w:tc>
          <w:tcPr>
            <w:tcW w:type="dxa" w:w="5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Confirmed by running the engine over the 13 Biddington files: it reproduces correct ARNs and cleaner addresses. Hand-scraping HTML was the defect, not the 20-digit format. The gw-ingest-data folder is already watched by engines/gw/watcher.</w:t>
            </w:r>
          </w:p>
        </w:tc>
      </w:tr>
    </w:tbl>
    <w:p>
      <w:pPr>
        <w:pStyle w:val="Heading1"/>
      </w:pPr>
      <w:r>
        <w:t xml:space="preserve">3. System grounding (verified against the repo)</w:t>
      </w:r>
    </w:p>
    <w:p>
      <w:pPr>
        <w:spacing w:after="120" w:line="276"/>
      </w:pPr>
      <w:r>
        <w:t xml:space="preserve">Every interface below was read from the cleo-turbo source on June 30, 2026. Build against these exact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tcPr>
          <w:p>
            <w:r>
              <w:rPr>
                <w:b/>
                <w:bCs/>
                <w:color w:val="FFFFFF"/>
                <w:sz w:val="18"/>
                <w:szCs w:val="18"/>
              </w:rPr>
              <w:t xml:space="preserve">Interface</w:t>
            </w:r>
          </w:p>
        </w:tc>
        <w:tc>
          <w:tcPr>
            <w:tcW w:type="dxa" w:w="626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tcPr>
          <w:p>
            <w:r>
              <w:rPr>
                <w:b/>
                <w:bCs/>
                <w:color w:val="FFFFFF"/>
                <w:sz w:val="18"/>
                <w:szCs w:val="18"/>
              </w:rPr>
              <w:t xml:space="preserve">Verified fact</w:t>
            </w:r>
          </w:p>
        </w:tc>
      </w:tr>
      <w:tr>
        <w:trPr>
          <w:tblHeader w:val="false"/>
        </w:trPr>
        <w:tc>
          <w:tcPr>
            <w:tcW w:type="dxa" w:w="3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Router registration</w:t>
            </w:r>
          </w:p>
        </w:tc>
        <w:tc>
          <w:tcPr>
            <w:tcW w:type="dxa" w:w="6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cleo/web/app.py registers routers as app.include_router(x_router, prefix='/api/&lt;name&gt;', tags=[...]). New: prefix='/api/portfolio'.</w:t>
            </w:r>
          </w:p>
        </w:tc>
      </w:tr>
      <w:tr>
        <w:trPr>
          <w:tblHeader w:val="false"/>
        </w:trPr>
        <w:tc>
          <w:tcPr>
            <w:tcW w:type="dxa" w:w="3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DB dependency</w:t>
            </w:r>
          </w:p>
        </w:tc>
        <w:tc>
          <w:tcPr>
            <w:tcW w:type="dxa" w:w="6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cleo/web/deps.py: get_db() yields get_connection() from cleo/database/connection and closes it. Auth via get_current_user (JWT) and require_admin.</w:t>
            </w:r>
          </w:p>
        </w:tc>
      </w:tr>
      <w:tr>
        <w:trPr>
          <w:tblHeader w:val="false"/>
        </w:trPr>
        <w:tc>
          <w:tcPr>
            <w:tcW w:type="dxa" w:w="3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Route conventions</w:t>
            </w:r>
          </w:p>
        </w:tc>
        <w:tc>
          <w:tcPr>
            <w:tcW w:type="dxa" w:w="6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Handlers look like def handler(body: PydanticModel, db=Depends(get_db), user=Depends(get_current_user)); writes use db.execute(...) then db.commit() (see routes/notes.py).</w:t>
            </w:r>
          </w:p>
        </w:tc>
      </w:tr>
      <w:tr>
        <w:trPr>
          <w:tblHeader w:val="false"/>
        </w:trPr>
        <w:tc>
          <w:tcPr>
            <w:tcW w:type="dxa" w:w="3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Reconciler</w:t>
            </w:r>
          </w:p>
        </w:tc>
        <w:tc>
          <w:tcPr>
            <w:tcW w:type="dxa" w:w="6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cleo/compiler/owner_overrides.apply_owner_overrides(conn, scope_arns=None, actor='compiler', verbose=True) returns stats {filled, confirmed, conflicts, pending_no_property, skipped_non_owns}.</w:t>
            </w:r>
          </w:p>
        </w:tc>
      </w:tr>
      <w:tr>
        <w:trPr>
          <w:tblHeader w:val="false"/>
        </w:trPr>
        <w:tc>
          <w:tcPr>
            <w:tcW w:type="dxa" w:w="3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Merge ops</w:t>
            </w:r>
          </w:p>
        </w:tc>
        <w:tc>
          <w:tcPr>
            <w:tcW w:type="dxa" w:w="6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cleo/database/group_merge_ops.py: resolve_target(db, group_id) and execute_merge(db, source_id, target_id).</w:t>
            </w:r>
          </w:p>
        </w:tc>
      </w:tr>
      <w:tr>
        <w:trPr>
          <w:tblHeader w:val="false"/>
        </w:trPr>
        <w:tc>
          <w:tcPr>
            <w:tcW w:type="dxa" w:w="3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Group IDs</w:t>
            </w:r>
          </w:p>
        </w:tc>
        <w:tc>
          <w:tcPr>
            <w:tcW w:type="dxa" w:w="6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Auto groups use AGRP_{n:05d}. The groups table uses GRP_#####. A helper to mint the next GRP_ id must be added (Section 10).</w:t>
            </w:r>
          </w:p>
        </w:tc>
      </w:tr>
      <w:tr>
        <w:trPr>
          <w:tblHeader w:val="false"/>
        </w:trPr>
        <w:tc>
          <w:tcPr>
            <w:tcW w:type="dxa" w:w="3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Normalizer</w:t>
            </w:r>
          </w:p>
        </w:tc>
        <w:tc>
          <w:tcPr>
            <w:tcW w:type="dxa" w:w="6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cleo/atoms/normalize.py: normalize_brand, normalize_contact_name, normalize_phone, normalize_street_number/name/suffix/direction, normalize_suite_number, normalize_city, normalize_postal.</w:t>
            </w:r>
          </w:p>
        </w:tc>
      </w:tr>
      <w:tr>
        <w:trPr>
          <w:tblHeader w:val="false"/>
        </w:trPr>
        <w:tc>
          <w:tcPr>
            <w:tcW w:type="dxa" w:w="3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ARN engine</w:t>
            </w:r>
          </w:p>
        </w:tc>
        <w:tc>
          <w:tcPr>
            <w:tcW w:type="dxa" w:w="6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engines/gw/normalize.format_arn and engines/rt/address_normalizer/pin_arn.normalize_arn both emit the 20-digit arn_api. parse_gw_html + normalize_record turn a GW HTML file into records carrying arn_api. The gw-ingest-data folder is watched by engines/gw/watcher.</w:t>
            </w:r>
          </w:p>
        </w:tc>
      </w:tr>
      <w:tr>
        <w:trPr>
          <w:tblHeader w:val="false"/>
        </w:trPr>
        <w:tc>
          <w:tcPr>
            <w:tcW w:type="dxa" w:w="3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Capture tables</w:t>
            </w:r>
          </w:p>
        </w:tc>
        <w:tc>
          <w:tcPr>
            <w:tcW w:type="dxa" w:w="6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manual_owner_links, manual_properties, group_match_keys, group_aliases, group_profile, group_contacts, group_notes. Defined, empty. Columns per migrate_portfolio_capture.py.</w:t>
            </w:r>
          </w:p>
        </w:tc>
      </w:tr>
    </w:tbl>
    <w:p>
      <w:pPr>
        <w:pStyle w:val="Heading1"/>
      </w:pPr>
      <w:r>
        <w:t xml:space="preserve">4. Architecture</w:t>
      </w:r>
    </w:p>
    <w:p>
      <w:pPr>
        <w:spacing w:after="120" w:line="276"/>
      </w:pPr>
      <w:r>
        <w:t xml:space="preserve">Three parts: producer (Cowork), contract (the Capture Payload), consumer (the endpoint plus the existing reconciler and, later, the sweep).</w:t>
      </w:r>
    </w:p>
    <w:p>
      <w:pPr>
        <w:shd w:fill="F4F4F4" w:val="clear"/>
        <w:spacing w:after="20"/>
      </w:pPr>
      <w:r>
        <w:rPr>
          <w:rFonts w:ascii="Courier New" w:cs="Courier New" w:eastAsia="Courier New" w:hAnsi="Courier New"/>
          <w:sz w:val="17"/>
          <w:szCs w:val="17"/>
        </w:rPr>
        <w:t xml:space="preserve">Group URL ----&gt; Cowork extracts profile, people, SPV names</w:t>
      </w:r>
    </w:p>
    <w:p>
      <w:pPr>
        <w:shd w:fill="F4F4F4" w:val="clear"/>
        <w:spacing w:after="20"/>
      </w:pPr>
      <w:r>
        <w:rPr>
          <w:rFonts w:ascii="Courier New" w:cs="Courier New" w:eastAsia="Courier New" w:hAnsi="Courier New"/>
          <w:sz w:val="17"/>
          <w:szCs w:val="17"/>
        </w:rPr>
        <w:t xml:space="preserve">GW HTML ------&gt; engines/gw parse_gw_html + normalize_record</w:t>
      </w:r>
    </w:p>
    <w:p>
      <w:pPr>
        <w:shd w:fill="F4F4F4" w:val="clear"/>
        <w:spacing w:after="20"/>
      </w:pPr>
      <w:r>
        <w:rPr>
          <w:rFonts w:ascii="Courier New" w:cs="Courier New" w:eastAsia="Courier New" w:hAnsi="Courier New"/>
          <w:sz w:val="17"/>
          <w:szCs w:val="17"/>
        </w:rPr>
        <w:t xml:space="preserve">                -&gt; canonical arn_api (NOT hand-scraped)</w:t>
      </w:r>
    </w:p>
    <w:p>
      <w:pPr>
        <w:shd w:fill="F4F4F4" w:val="clear"/>
        <w:spacing w:after="20"/>
      </w:pPr>
      <w:r>
        <w:rPr>
          <w:rFonts w:ascii="Courier New" w:cs="Courier New" w:eastAsia="Courier New" w:hAnsi="Courier New"/>
          <w:sz w:val="17"/>
          <w:szCs w:val="17"/>
        </w:rPr>
        <w:t xml:space="preserve">   v</w:t>
      </w:r>
    </w:p>
    <w:p>
      <w:pPr>
        <w:shd w:fill="F4F4F4" w:val="clear"/>
        <w:spacing w:after="20"/>
      </w:pPr>
      <w:r>
        <w:rPr>
          <w:rFonts w:ascii="Courier New" w:cs="Courier New" w:eastAsia="Courier New" w:hAnsi="Courier New"/>
          <w:sz w:val="17"/>
          <w:szCs w:val="17"/>
        </w:rPr>
        <w:t xml:space="preserve">Capture Payload (JSON)            &lt;- the standardized contract</w:t>
      </w:r>
    </w:p>
    <w:p>
      <w:pPr>
        <w:shd w:fill="F4F4F4" w:val="clear"/>
        <w:spacing w:after="20"/>
      </w:pPr>
      <w:r>
        <w:rPr>
          <w:rFonts w:ascii="Courier New" w:cs="Courier New" w:eastAsia="Courier New" w:hAnsi="Courier New"/>
          <w:sz w:val="17"/>
          <w:szCs w:val="17"/>
        </w:rPr>
        <w:t xml:space="preserve">   |  POST /api/portfolio/capture?dry_run=true</w:t>
      </w:r>
    </w:p>
    <w:p>
      <w:pPr>
        <w:shd w:fill="F4F4F4" w:val="clear"/>
        <w:spacing w:after="20"/>
      </w:pPr>
      <w:r>
        <w:rPr>
          <w:rFonts w:ascii="Courier New" w:cs="Courier New" w:eastAsia="Courier New" w:hAnsi="Courier New"/>
          <w:sz w:val="17"/>
          <w:szCs w:val="17"/>
        </w:rPr>
        <w:t xml:space="preserve">   v</w:t>
      </w:r>
    </w:p>
    <w:p>
      <w:pPr>
        <w:shd w:fill="F4F4F4" w:val="clear"/>
        <w:spacing w:after="20"/>
      </w:pPr>
      <w:r>
        <w:rPr>
          <w:rFonts w:ascii="Courier New" w:cs="Courier New" w:eastAsia="Courier New" w:hAnsi="Courier New"/>
          <w:sz w:val="17"/>
          <w:szCs w:val="17"/>
        </w:rPr>
        <w:t xml:space="preserve">Endpoint: validate -&gt; normalize -&gt; write capture tables (txn)</w:t>
      </w:r>
    </w:p>
    <w:p>
      <w:pPr>
        <w:shd w:fill="F4F4F4" w:val="clear"/>
        <w:spacing w:after="20"/>
      </w:pPr>
      <w:r>
        <w:rPr>
          <w:rFonts w:ascii="Courier New" w:cs="Courier New" w:eastAsia="Courier New" w:hAnsi="Courier New"/>
          <w:sz w:val="17"/>
          <w:szCs w:val="17"/>
        </w:rPr>
        <w:t xml:space="preserve">   -&gt; apply_owner_overrides(scope_arns) -&gt; match-key sweep</w:t>
      </w:r>
    </w:p>
    <w:p>
      <w:pPr>
        <w:shd w:fill="F4F4F4" w:val="clear"/>
        <w:spacing w:after="20"/>
      </w:pPr>
      <w:r>
        <w:rPr>
          <w:rFonts w:ascii="Courier New" w:cs="Courier New" w:eastAsia="Courier New" w:hAnsi="Courier New"/>
          <w:sz w:val="17"/>
          <w:szCs w:val="17"/>
        </w:rPr>
        <w:t xml:space="preserve">   -&gt; return diff   (dry_run: ROLLBACK;  commit: COMMIT + stamp)</w:t>
      </w:r>
    </w:p>
    <w:p>
      <w:pPr>
        <w:pStyle w:val="Heading1"/>
      </w:pPr>
      <w:r>
        <w:t xml:space="preserve">5. The Capture Payload contract</w:t>
      </w:r>
    </w:p>
    <w:p>
      <w:pPr>
        <w:spacing w:after="120" w:line="276"/>
      </w:pPr>
      <w:r>
        <w:t xml:space="preserve">One JSON object. Pydantic models live in the new route module. Field types below are authoritative.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tcPr>
          <w:p>
            <w:r>
              <w:rPr>
                <w:b/>
                <w:bCs/>
                <w:color w:val="FFFFFF"/>
                <w:sz w:val="18"/>
                <w:szCs w:val="18"/>
              </w:rPr>
              <w:t xml:space="preserve">Field</w:t>
            </w:r>
          </w:p>
        </w:tc>
        <w:tc>
          <w:tcPr>
            <w:tcW w:type="dxa" w:w="150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tcPr>
          <w:p>
            <w:r>
              <w:rPr>
                <w:b/>
                <w:bCs/>
                <w:color w:val="FFFFFF"/>
                <w:sz w:val="18"/>
                <w:szCs w:val="18"/>
              </w:rPr>
              <w:t xml:space="preserve">Type</w:t>
            </w:r>
          </w:p>
        </w:tc>
        <w:tc>
          <w:tcPr>
            <w:tcW w:type="dxa" w:w="566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tcPr>
          <w:p>
            <w:r>
              <w:rPr>
                <w:b/>
                <w:bCs/>
                <w:color w:val="FFFFFF"/>
                <w:sz w:val="18"/>
                <w:szCs w:val="18"/>
              </w:rPr>
              <w:t xml:space="preserve">Notes</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group.display_name</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str (req)</w:t>
            </w:r>
          </w:p>
        </w:tc>
        <w:tc>
          <w:tcPr>
            <w:tcW w:type="dxa" w:w="5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Canonical parent name, e.g. The Biddington Group.</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group.business_lines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str[]</w:t>
            </w:r>
          </w:p>
        </w:tc>
        <w:tc>
          <w:tcPr>
            <w:tcW w:type="dxa" w:w="5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Subset of owner, developer, property_manager, brokerage.</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group.hq_address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str?</w:t>
            </w:r>
          </w:p>
        </w:tc>
        <w:tc>
          <w:tcPr>
            <w:tcW w:type="dxa" w:w="5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Free text; normalized server-side.</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group.domain</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str?</w:t>
            </w:r>
          </w:p>
        </w:tc>
        <w:tc>
          <w:tcPr>
            <w:tcW w:type="dxa" w:w="5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Identity/dedup only (D3).</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group.website / partners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str? / str[]</w:t>
            </w:r>
          </w:p>
        </w:tc>
        <w:tc>
          <w:tcPr>
            <w:tcW w:type="dxa" w:w="5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Stored on group_profile.</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aliases[]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{alias, source_url?, confidence?}</w:t>
            </w:r>
          </w:p>
        </w:tc>
        <w:tc>
          <w:tcPr>
            <w:tcW w:type="dxa" w:w="5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Name variants, e.g. Kilbarry Holdings vs Holding.</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match_keys[]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{type, value_raw, source_url?, confidence?}</w:t>
            </w:r>
          </w:p>
        </w:tc>
        <w:tc>
          <w:tcPr>
            <w:tcW w:type="dxa" w:w="5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type in address|phone|domain|spv_name|person. Only address and spv_name are swept in v1.</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contacts[]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{name, role?, phone?, email?, is_current?, source_url?}</w:t>
            </w:r>
          </w:p>
        </w:tc>
        <w:tc>
          <w:tcPr>
            <w:tcW w:type="dxa" w:w="5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Linked via group_contacts.</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properties[]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{arn, display_address?, city?, relationship, source, source_url?, confidence?, registry_confirmed}</w:t>
            </w:r>
          </w:p>
        </w:tc>
        <w:tc>
          <w:tcPr>
            <w:tcW w:type="dxa" w:w="5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relationship in owns|manages|lists. registry_confirmed=true for GeoWarehouse.</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merge_candidates[]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str[] (group ids)</w:t>
            </w:r>
          </w:p>
        </w:tc>
        <w:tc>
          <w:tcPr>
            <w:tcW w:type="dxa" w:w="5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Existing groups to fold into the parent. Never auto-applied.</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captured_by</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str</w:t>
            </w:r>
          </w:p>
        </w:tc>
        <w:tc>
          <w:tcPr>
            <w:tcW w:type="dxa" w:w="5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Actor string, e.g. cowork:brandon.</w:t>
            </w:r>
          </w:p>
        </w:tc>
      </w:tr>
    </w:tbl>
    <w:p>
      <w:pPr>
        <w:pStyle w:val="Heading1"/>
      </w:pPr>
      <w:r>
        <w:t xml:space="preserve">6. Endpoint specification</w:t>
      </w:r>
    </w:p>
    <w:p>
      <w:pPr>
        <w:spacing w:after="120" w:line="276"/>
      </w:pPr>
      <w:r>
        <w:rPr>
          <w:b/>
          <w:bCs/>
        </w:rPr>
        <w:t xml:space="preserve">Signature: </w:t>
      </w:r>
      <w:r>
        <w:t xml:space="preserve">POST /api/portfolio/capture?dry_run=bool (default true). Auth: Depends(get_current_user). Body: CapturePayload. Returns: CaptureDiff.</w:t>
      </w:r>
    </w:p>
    <w:p>
      <w:pPr>
        <w:pStyle w:val="Heading2"/>
      </w:pPr>
      <w:r>
        <w:t xml:space="preserve">6.1 Write order (single transaction)</w:t>
      </w:r>
    </w:p>
    <w:p>
      <w:pPr>
        <w:pStyle w:val="ListParagraph"/>
        <w:numPr>
          <w:ilvl w:val="0"/>
          <w:numId w:val="2"/>
        </w:numPr>
        <w:spacing w:after="60" w:line="276"/>
      </w:pPr>
      <w:r>
        <w:t xml:space="preserve">Resolve or create the parent group (Section 10). Compute normalized_name via normalize_brand; reject if it collides with an unrelated existing group.</w:t>
      </w:r>
    </w:p>
    <w:p>
      <w:pPr>
        <w:pStyle w:val="ListParagraph"/>
        <w:numPr>
          <w:ilvl w:val="0"/>
          <w:numId w:val="2"/>
        </w:numPr>
        <w:spacing w:after="60" w:line="276"/>
      </w:pPr>
      <w:r>
        <w:t xml:space="preserve">Upsert group_profile (summary, business_lines JSON, corp_address, domain, website, partners JSON, source, source_url, web_asserted, captured_by).</w:t>
      </w:r>
    </w:p>
    <w:p>
      <w:pPr>
        <w:pStyle w:val="ListParagraph"/>
        <w:numPr>
          <w:ilvl w:val="0"/>
          <w:numId w:val="2"/>
        </w:numPr>
        <w:spacing w:after="60" w:line="276"/>
      </w:pPr>
      <w:r>
        <w:t xml:space="preserve">Insert group_aliases (dedup on UNIQUE(group_id, alias)).</w:t>
      </w:r>
    </w:p>
    <w:p>
      <w:pPr>
        <w:pStyle w:val="ListParagraph"/>
        <w:numPr>
          <w:ilvl w:val="0"/>
          <w:numId w:val="2"/>
        </w:numPr>
        <w:spacing w:after="60" w:line="276"/>
      </w:pPr>
      <w:r>
        <w:t xml:space="preserve">Insert group_match_keys, normalizing value per type (Section 7). UNIQUE(group_id, key_type, value) makes re-runs idempotent.</w:t>
      </w:r>
    </w:p>
    <w:p>
      <w:pPr>
        <w:pStyle w:val="ListParagraph"/>
        <w:numPr>
          <w:ilvl w:val="0"/>
          <w:numId w:val="2"/>
        </w:numPr>
        <w:spacing w:after="60" w:line="276"/>
      </w:pPr>
      <w:r>
        <w:t xml:space="preserve">Upsert contacts and link via group_contacts (role, is_current).</w:t>
      </w:r>
    </w:p>
    <w:p>
      <w:pPr>
        <w:pStyle w:val="ListParagraph"/>
        <w:numPr>
          <w:ilvl w:val="0"/>
          <w:numId w:val="2"/>
        </w:numPr>
        <w:spacing w:after="60" w:line="276"/>
      </w:pPr>
      <w:r>
        <w:t xml:space="preserve">For each property: take the engine-produced arn_api (D5); if that ARN is absent from properties, upsert a manual_properties row first; then insert manual_owner_links (UNIQUE(arn, group_id, relationship)) with source, confidence, registry_confirmed.</w:t>
      </w:r>
    </w:p>
    <w:p>
      <w:pPr>
        <w:pStyle w:val="ListParagraph"/>
        <w:numPr>
          <w:ilvl w:val="0"/>
          <w:numId w:val="2"/>
        </w:numPr>
        <w:spacing w:after="60" w:line="276"/>
      </w:pPr>
      <w:r>
        <w:t xml:space="preserve">Call apply_owner_overrides(conn, scope_arns=&lt;captured ARNs&gt;, actor=captured_by).</w:t>
      </w:r>
    </w:p>
    <w:p>
      <w:pPr>
        <w:pStyle w:val="ListParagraph"/>
        <w:numPr>
          <w:ilvl w:val="0"/>
          <w:numId w:val="2"/>
        </w:numPr>
        <w:spacing w:after="60" w:line="276"/>
      </w:pPr>
      <w:r>
        <w:t xml:space="preserve">Run the match-key sweep (Section 9) for the parent group.</w:t>
      </w:r>
    </w:p>
    <w:p>
      <w:pPr>
        <w:pStyle w:val="ListParagraph"/>
        <w:numPr>
          <w:ilvl w:val="0"/>
          <w:numId w:val="2"/>
        </w:numPr>
        <w:spacing w:after="60" w:line="276"/>
      </w:pPr>
      <w:r>
        <w:t xml:space="preserve">Build the diff. If dry_run: conn.rollback(). Else: stamp approved_by/approved_at on links and conn.commit().</w:t>
      </w:r>
    </w:p>
    <w:p>
      <w:pPr>
        <w:pStyle w:val="Heading2"/>
      </w:pPr>
      <w:r>
        <w:t xml:space="preserve">6.2 Response (CaptureDiff)</w:t>
      </w:r>
    </w:p>
    <w:p>
      <w:pPr>
        <w:shd w:fill="F4F4F4" w:val="clear"/>
        <w:spacing w:after="20"/>
      </w:pPr>
      <w:r>
        <w:rPr>
          <w:rFonts w:ascii="Courier New" w:cs="Courier New" w:eastAsia="Courier New" w:hAnsi="Courier New"/>
          <w:sz w:val="17"/>
          <w:szCs w:val="17"/>
        </w:rPr>
        <w:t xml:space="preserve">{ group_id, created: bool,</w:t>
      </w:r>
    </w:p>
    <w:p>
      <w:pPr>
        <w:shd w:fill="F4F4F4" w:val="clear"/>
        <w:spacing w:after="20"/>
      </w:pPr>
      <w:r>
        <w:rPr>
          <w:rFonts w:ascii="Courier New" w:cs="Courier New" w:eastAsia="Courier New" w:hAnsi="Courier New"/>
          <w:sz w:val="17"/>
          <w:szCs w:val="17"/>
        </w:rPr>
        <w:t xml:space="preserve">  overrides: { filled, confirmed, conflicts, pending_no_property },</w:t>
      </w:r>
    </w:p>
    <w:p>
      <w:pPr>
        <w:shd w:fill="F4F4F4" w:val="clear"/>
        <w:spacing w:after="20"/>
      </w:pPr>
      <w:r>
        <w:rPr>
          <w:rFonts w:ascii="Courier New" w:cs="Courier New" w:eastAsia="Courier New" w:hAnsi="Courier New"/>
          <w:sz w:val="17"/>
          <w:szCs w:val="17"/>
        </w:rPr>
        <w:t xml:space="preserve">  sweep: { matched_arns:[], attached:int, ambiguous:[] },</w:t>
      </w:r>
    </w:p>
    <w:p>
      <w:pPr>
        <w:shd w:fill="F4F4F4" w:val="clear"/>
        <w:spacing w:after="20"/>
      </w:pPr>
      <w:r>
        <w:rPr>
          <w:rFonts w:ascii="Courier New" w:cs="Courier New" w:eastAsia="Courier New" w:hAnsi="Courier New"/>
          <w:sz w:val="17"/>
          <w:szCs w:val="17"/>
        </w:rPr>
        <w:t xml:space="preserve">  merges_proposed: [group_id...],</w:t>
      </w:r>
    </w:p>
    <w:p>
      <w:pPr>
        <w:shd w:fill="F4F4F4" w:val="clear"/>
        <w:spacing w:after="20"/>
      </w:pPr>
      <w:r>
        <w:rPr>
          <w:rFonts w:ascii="Courier New" w:cs="Courier New" w:eastAsia="Courier New" w:hAnsi="Courier New"/>
          <w:sz w:val="17"/>
          <w:szCs w:val="17"/>
        </w:rPr>
        <w:t xml:space="preserve">  match_keys_added:int, aliases_added:int, contacts_linked:int,</w:t>
      </w:r>
    </w:p>
    <w:p>
      <w:pPr>
        <w:shd w:fill="F4F4F4" w:val="clear"/>
        <w:spacing w:after="20"/>
      </w:pPr>
      <w:r>
        <w:rPr>
          <w:rFonts w:ascii="Courier New" w:cs="Courier New" w:eastAsia="Courier New" w:hAnsi="Courier New"/>
          <w:sz w:val="17"/>
          <w:szCs w:val="17"/>
        </w:rPr>
        <w:t xml:space="preserve">  warnings: [ "ARN 19190... not found in properties", ... ] }</w:t>
      </w:r>
    </w:p>
    <w:p>
      <w:pPr>
        <w:pStyle w:val="Heading2"/>
      </w:pPr>
      <w:r>
        <w:t xml:space="preserve">6.3 Status codes</w:t>
      </w:r>
    </w:p>
    <w:p>
      <w:pPr>
        <w:pStyle w:val="ListParagraph"/>
        <w:numPr>
          <w:ilvl w:val="0"/>
          <w:numId w:val="3"/>
        </w:numPr>
        <w:spacing w:after="60" w:line="276"/>
      </w:pPr>
      <w:r>
        <w:t xml:space="preserve">200 with diff on success (dry_run or commit).</w:t>
      </w:r>
    </w:p>
    <w:p>
      <w:pPr>
        <w:pStyle w:val="ListParagraph"/>
        <w:numPr>
          <w:ilvl w:val="0"/>
          <w:numId w:val="3"/>
        </w:numPr>
        <w:spacing w:after="60" w:line="276"/>
      </w:pPr>
      <w:r>
        <w:t xml:space="preserve">422 on payload validation failure (Pydantic, or a rejected low-specificity match key).</w:t>
      </w:r>
    </w:p>
    <w:p>
      <w:pPr>
        <w:pStyle w:val="ListParagraph"/>
        <w:numPr>
          <w:ilvl w:val="0"/>
          <w:numId w:val="3"/>
        </w:numPr>
        <w:spacing w:after="60" w:line="276"/>
      </w:pPr>
      <w:r>
        <w:t xml:space="preserve">409 if the normalized parent name collides with an unrelated existing group and no explicit group_id was supplied.</w:t>
      </w:r>
    </w:p>
    <w:p>
      <w:pPr>
        <w:pStyle w:val="Heading1"/>
      </w:pPr>
      <w:r>
        <w:t xml:space="preserve">7. Normalization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tcPr>
          <w:p>
            <w:r>
              <w:rPr>
                <w:b/>
                <w:bCs/>
                <w:color w:val="FFFFFF"/>
                <w:sz w:val="18"/>
                <w:szCs w:val="18"/>
              </w:rPr>
              <w:t xml:space="preserve">Field</w:t>
            </w:r>
          </w:p>
        </w:tc>
        <w:tc>
          <w:tcPr>
            <w:tcW w:type="dxa" w:w="676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tcPr>
          <w:p>
            <w:r>
              <w:rPr>
                <w:b/>
                <w:bCs/>
                <w:color w:val="FFFFFF"/>
                <w:sz w:val="18"/>
                <w:szCs w:val="18"/>
              </w:rPr>
              <w:t xml:space="preserve">Rule</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group normalized_name</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normalize_brand(display_name).</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match_key address</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Compose normalize_street_number + name + suffix + direction + suite_number + normalize_city; lowercase, single-spaced. This composite is the swept value.</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match_key spv_name</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normalize_brand(value_raw). Must be a specific entity name (length and token checks, Section 9.2).</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match_key phone</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normalize_phone (stored, not swept).</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match_key person</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normalize_contact_name (stored, not swept).</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ARN</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Do not scrape. For GW data use engines/gw/normalize.format_arn (via parse_gw_html + normalize_record); for typed input use engines/rt normalize_arn. Both strip non-digits and right-pad to 20; normalize_arn also rejects registry prefixes (HR-, AT-, MT-, WR-, KL-), decimals, and sub-13-digit strings.</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contacts</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normalize_contact_name for matching; keep raw for display.</w:t>
            </w:r>
          </w:p>
        </w:tc>
      </w:tr>
    </w:tbl>
    <w:p>
      <w:pPr>
        <w:pStyle w:val="Heading2"/>
      </w:pPr>
      <w:r>
        <w:t xml:space="preserve">7.1 ARN handling (canonical)</w:t>
      </w:r>
    </w:p>
    <w:p>
      <w:pPr>
        <w:spacing w:after="120" w:line="276"/>
      </w:pPr>
      <w:r>
        <w:t xml:space="preserve">The Ontario assessment roll number is the backbone that links a parcel to its owner. GeoWarehouse displays it spaced (for example 25 18 060 613 08750); Cleo stores it as a 20-digit api_format in properties.arn, manual_properties.arn, and manual_owner_links.arn. The engine functions are the single source of truth: format_arn in engines/gw/normalize and normalize_arn in engines/rt/address_normalizer/pin_arn. Capture reuses them; it does not reimplement or scrape ARN parsing.</w:t>
      </w:r>
    </w:p>
    <w:p>
      <w:pPr>
        <w:spacing w:after="120" w:line="276"/>
      </w:pPr>
      <w:r>
        <w:t xml:space="preserve">Consequence for capture: an engine-produced arn_api either matches an existing properties row (often dark, with an empty owner) or it does not yet exist in properties. The first case fills a dark owner; the second is a genuinely dark parcel that capture creates as a manual_properties row, then links. Both are normal and both are covered by the pilot.</w:t>
      </w:r>
    </w:p>
    <w:p>
      <w:pPr>
        <w:pStyle w:val="Heading1"/>
      </w:pPr>
      <w:r>
        <w:t xml:space="preserve">8. Reconcile and conflict rules</w:t>
      </w:r>
    </w:p>
    <w:p>
      <w:pPr>
        <w:spacing w:after="120" w:line="276"/>
      </w:pPr>
      <w:r>
        <w:t xml:space="preserve">The endpoint does not re-implement ownership logic. It writes manual_owner_links and calls apply_owner_overrides, which already enforces:</w:t>
      </w:r>
    </w:p>
    <w:p>
      <w:pPr>
        <w:pStyle w:val="ListParagraph"/>
        <w:numPr>
          <w:ilvl w:val="0"/>
          <w:numId w:val="3"/>
        </w:numPr>
        <w:spacing w:after="60" w:line="276"/>
      </w:pPr>
      <w:r>
        <w:t xml:space="preserve">A captured owns link fills a dark property (no Realtrack owner).</w:t>
      </w:r>
    </w:p>
    <w:p>
      <w:pPr>
        <w:pStyle w:val="ListParagraph"/>
        <w:numPr>
          <w:ilvl w:val="0"/>
          <w:numId w:val="3"/>
        </w:numPr>
        <w:spacing w:after="60" w:line="276"/>
      </w:pPr>
      <w:r>
        <w:t xml:space="preserve">It never overwrites a Realtrack-derived owner; it sets the link status='conflict' and logs to data_issues (rule manual_owner_conflict).</w:t>
      </w:r>
    </w:p>
    <w:p>
      <w:pPr>
        <w:pStyle w:val="ListParagraph"/>
        <w:numPr>
          <w:ilvl w:val="0"/>
          <w:numId w:val="3"/>
        </w:numPr>
        <w:spacing w:after="60" w:line="276"/>
      </w:pPr>
      <w:r>
        <w:t xml:space="preserve">manual_owner_links survive drop_derived_tables() and re-derive after a rebuild (proven by test_portfolio_capture_m1.py T2).</w:t>
      </w:r>
    </w:p>
    <w:p>
      <w:pPr>
        <w:spacing w:after="120" w:line="276"/>
      </w:pPr>
      <w:r>
        <w:rPr>
          <w:b/>
          <w:bCs/>
        </w:rPr>
        <w:t xml:space="preserve">Auto-fill policy (D4): </w:t>
      </w:r>
      <w:r>
        <w:t xml:space="preserve">registry_confirmed links fill dark properties unconditionally. web_asserted links fill only at confidence &gt;= 0.90; below that the link is inserted with status='pending' and surfaced in the diff for review. Conflicts always surface, never auto-resolve.</w:t>
      </w:r>
    </w:p>
    <w:p>
      <w:pPr>
        <w:pStyle w:val="Heading1"/>
      </w:pPr>
      <w:r>
        <w:t xml:space="preserve">9. The match-key sweep (M4)</w:t>
      </w:r>
    </w:p>
    <w:p>
      <w:pPr>
        <w:pStyle w:val="Heading2"/>
      </w:pPr>
      <w:r>
        <w:t xml:space="preserve">9.1 Algorithm</w:t>
      </w:r>
    </w:p>
    <w:p>
      <w:pPr>
        <w:spacing w:after="120" w:line="276"/>
      </w:pPr>
      <w:r>
        <w:t xml:space="preserve">For the parent group, for each swept match key (address or spv_name):</w:t>
      </w:r>
    </w:p>
    <w:p>
      <w:pPr>
        <w:pStyle w:val="ListParagraph"/>
        <w:numPr>
          <w:ilvl w:val="0"/>
          <w:numId w:val="4"/>
        </w:numPr>
        <w:spacing w:after="60" w:line="276"/>
      </w:pPr>
      <w:r>
        <w:t xml:space="preserve">Find candidate dark parcels whose owner fields normalize to the same value. For spv_name, match properties.current_owner_name (and the GW owner name on gw_assessments) via normalize_brand. For address, match the normalized owner mailing address on gw_assessments.</w:t>
      </w:r>
    </w:p>
    <w:p>
      <w:pPr>
        <w:pStyle w:val="ListParagraph"/>
        <w:numPr>
          <w:ilvl w:val="0"/>
          <w:numId w:val="4"/>
        </w:numPr>
        <w:spacing w:after="60" w:line="276"/>
      </w:pPr>
      <w:r>
        <w:t xml:space="preserve">A candidate qualifies only if the property is dark (no Realtrack owner) or already owned by a group being merged into the parent.</w:t>
      </w:r>
    </w:p>
    <w:p>
      <w:pPr>
        <w:pStyle w:val="ListParagraph"/>
        <w:numPr>
          <w:ilvl w:val="0"/>
          <w:numId w:val="4"/>
        </w:numPr>
        <w:spacing w:after="60" w:line="276"/>
      </w:pPr>
      <w:r>
        <w:t xml:space="preserve">For each qualifying parcel, insert a manual_owner_links row (relationship owns, source 'match_key_sweep', registry_confirmed inherited from the GW match) and add its ARN to the override scope.</w:t>
      </w:r>
    </w:p>
    <w:p>
      <w:pPr>
        <w:pStyle w:val="ListParagraph"/>
        <w:numPr>
          <w:ilvl w:val="0"/>
          <w:numId w:val="4"/>
        </w:numPr>
        <w:spacing w:after="60" w:line="276"/>
      </w:pPr>
      <w:r>
        <w:t xml:space="preserve">If a normalized value maps to owners that are not clearly the same entity, do not attach; list the ARN under sweep.ambiguous for review.</w:t>
      </w:r>
    </w:p>
    <w:p>
      <w:pPr>
        <w:pStyle w:val="ListParagraph"/>
        <w:numPr>
          <w:ilvl w:val="0"/>
          <w:numId w:val="4"/>
        </w:numPr>
        <w:spacing w:after="60" w:line="276"/>
      </w:pPr>
      <w:r>
        <w:t xml:space="preserve">Re-run apply_owner_overrides on the expanded ARN scope.</w:t>
      </w:r>
    </w:p>
    <w:p>
      <w:pPr>
        <w:pStyle w:val="Heading2"/>
      </w:pPr>
      <w:r>
        <w:t xml:space="preserve">9.2 Specificity guard (prevents the Forum problem)</w:t>
      </w:r>
    </w:p>
    <w:p>
      <w:pPr>
        <w:pStyle w:val="ListParagraph"/>
        <w:numPr>
          <w:ilvl w:val="0"/>
          <w:numId w:val="3"/>
        </w:numPr>
        <w:spacing w:after="60" w:line="276"/>
      </w:pPr>
      <w:r>
        <w:t xml:space="preserve">spv_name must normalize to at least two tokens and not be a single common word. Reject bare tokens like forum, plaza, holdings.</w:t>
      </w:r>
    </w:p>
    <w:p>
      <w:pPr>
        <w:pStyle w:val="ListParagraph"/>
        <w:numPr>
          <w:ilvl w:val="0"/>
          <w:numId w:val="3"/>
        </w:numPr>
        <w:spacing w:after="60" w:line="276"/>
      </w:pPr>
      <w:r>
        <w:t xml:space="preserve">address must include a street number and a city after normalization; a bare street name is rejected.</w:t>
      </w:r>
    </w:p>
    <w:p>
      <w:pPr>
        <w:pStyle w:val="ListParagraph"/>
        <w:numPr>
          <w:ilvl w:val="0"/>
          <w:numId w:val="3"/>
        </w:numPr>
        <w:spacing w:after="60" w:line="276"/>
      </w:pPr>
      <w:r>
        <w:t xml:space="preserve">Keys failing the guard are stored for identity but flagged sweepable=0 so they never drive attachment.</w:t>
      </w:r>
    </w:p>
    <w:p>
      <w:pPr>
        <w:pStyle w:val="Heading1"/>
      </w:pPr>
      <w:r>
        <w:t xml:space="preserve">10. Group creation and merge mechanics</w:t>
      </w:r>
    </w:p>
    <w:p>
      <w:pPr>
        <w:spacing w:after="120" w:line="276"/>
      </w:pPr>
      <w:r>
        <w:rPr>
          <w:b/>
          <w:bCs/>
        </w:rPr>
        <w:t xml:space="preserve">ID helper: </w:t>
      </w:r>
      <w:r>
        <w:t xml:space="preserve">add _next_group_id(conn) that selects max numeric suffix from groups.id LIKE 'GRP_%' and returns f'GRP_{n+1:05d}'. Mirror the AGRP_ pattern in discovery_v2.</w:t>
      </w:r>
    </w:p>
    <w:p>
      <w:pPr>
        <w:spacing w:after="120" w:line="276"/>
      </w:pPr>
      <w:r>
        <w:t xml:space="preserve">Resolution order for the parent group:</w:t>
      </w:r>
    </w:p>
    <w:p>
      <w:pPr>
        <w:pStyle w:val="ListParagraph"/>
        <w:numPr>
          <w:ilvl w:val="0"/>
          <w:numId w:val="5"/>
        </w:numPr>
        <w:spacing w:after="60" w:line="276"/>
      </w:pPr>
      <w:r>
        <w:t xml:space="preserve">If the payload supplies group.id, use it.</w:t>
      </w:r>
    </w:p>
    <w:p>
      <w:pPr>
        <w:pStyle w:val="ListParagraph"/>
        <w:numPr>
          <w:ilvl w:val="0"/>
          <w:numId w:val="5"/>
        </w:numPr>
        <w:spacing w:after="60" w:line="276"/>
      </w:pPr>
      <w:r>
        <w:t xml:space="preserve">Else if normalize_brand(display_name) matches exactly one existing group, reuse it.</w:t>
      </w:r>
    </w:p>
    <w:p>
      <w:pPr>
        <w:pStyle w:val="ListParagraph"/>
        <w:numPr>
          <w:ilvl w:val="0"/>
          <w:numId w:val="5"/>
        </w:numPr>
        <w:spacing w:after="60" w:line="276"/>
      </w:pPr>
      <w:r>
        <w:t xml:space="preserve">Else mint a new GRP_ id and insert into groups (status 'pool', website, hq_address).</w:t>
      </w:r>
    </w:p>
    <w:p>
      <w:pPr>
        <w:spacing w:after="120" w:line="276"/>
      </w:pPr>
      <w:r>
        <w:t xml:space="preserve">Merges: for each id in merge_candidates, call group_merge_ops.execute_merge(db, source_id=candidate, target_id=parent) only after human approval. resolve_target handles chains. Merges are returned in merges_proposed on dry_run and applied only on an explicit commit with apply_merges=true.</w:t>
      </w:r>
    </w:p>
    <w:p>
      <w:pPr>
        <w:pStyle w:val="Heading1"/>
      </w:pPr>
      <w:r>
        <w:t xml:space="preserve">11. File-by-file change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4860"/>
      </w:tblGrid>
      <w:tr>
        <w:trPr>
          <w:tblHeader/>
        </w:trPr>
        <w:tc>
          <w:tcPr>
            <w:tcW w:type="dxa" w:w="320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tcPr>
          <w:p>
            <w:r>
              <w:rPr>
                <w:b/>
                <w:bCs/>
                <w:color w:val="FFFFFF"/>
                <w:sz w:val="18"/>
                <w:szCs w:val="18"/>
              </w:rPr>
              <w:t xml:space="preserve">File</w:t>
            </w:r>
          </w:p>
        </w:tc>
        <w:tc>
          <w:tcPr>
            <w:tcW w:type="dxa" w:w="130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tcPr>
          <w:p>
            <w:r>
              <w:rPr>
                <w:b/>
                <w:bCs/>
                <w:color w:val="FFFFFF"/>
                <w:sz w:val="18"/>
                <w:szCs w:val="18"/>
              </w:rPr>
              <w:t xml:space="preserve">Action</w:t>
            </w:r>
          </w:p>
        </w:tc>
        <w:tc>
          <w:tcPr>
            <w:tcW w:type="dxa" w:w="486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tcPr>
          <w:p>
            <w:r>
              <w:rPr>
                <w:b/>
                <w:bCs/>
                <w:color w:val="FFFFFF"/>
                <w:sz w:val="18"/>
                <w:szCs w:val="18"/>
              </w:rPr>
              <w:t xml:space="preserve">Change</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cleo/web/routes/portfolio.py</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new</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APIRouter; Pydantic models (CapturePayload, CaptureDiff); the capture handler implementing Section 6.</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cleo/web/app.py</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edit</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Import portfolio_router; include_router(prefix='/api/portfolio', tags=['portfolio']).</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cleo/compiler/portfolio_capture.py</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new</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Pure functions: upsert_group, write_profile, write_match_keys, write_links, and run_sweep. Called by the route; unit-testable without HTTP.</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cleo/atoms/normalize.py</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edit</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Add compose_address_key() and normalize_arn() helpers if not already present.</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cleo/database/group_ids.py</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new</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_next_group_id(conn) helper.</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scripts/test_portfolio_capture_m2.py</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new</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Acceptance test for the endpoint and sweep against a /tmp copy.</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docs/portfolio-capture.md</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new</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Short runbook (Section 15) and the payload schema.</w:t>
            </w:r>
          </w:p>
        </w:tc>
      </w:tr>
    </w:tbl>
    <w:p>
      <w:pPr>
        <w:pStyle w:val="Heading1"/>
      </w:pPr>
      <w:r>
        <w:t xml:space="preserve">12. Test plan</w:t>
      </w:r>
    </w:p>
    <w:p>
      <w:pPr>
        <w:pStyle w:val="ListParagraph"/>
        <w:numPr>
          <w:ilvl w:val="0"/>
          <w:numId w:val="3"/>
        </w:numPr>
        <w:spacing w:after="60" w:line="276"/>
      </w:pPr>
      <w:r>
        <w:t xml:space="preserve">Keep test_portfolio_capture_m1.py green (link fills dark, conflict protection, survives rebuild).</w:t>
      </w:r>
    </w:p>
    <w:p>
      <w:pPr>
        <w:pStyle w:val="ListParagraph"/>
        <w:numPr>
          <w:ilvl w:val="0"/>
          <w:numId w:val="3"/>
        </w:numPr>
        <w:spacing w:after="60" w:line="276"/>
      </w:pPr>
      <w:r>
        <w:t xml:space="preserve">New M2 test: POST a payload to a TestClient against a /tmp copy. Assert dark property filled, idempotent re-POST (no duplicate links/keys), low-specificity match key rejected (422), dry_run leaves zero rows.</w:t>
      </w:r>
    </w:p>
    <w:p>
      <w:pPr>
        <w:pStyle w:val="ListParagraph"/>
        <w:numPr>
          <w:ilvl w:val="0"/>
          <w:numId w:val="3"/>
        </w:numPr>
        <w:spacing w:after="60" w:line="276"/>
      </w:pPr>
      <w:r>
        <w:t xml:space="preserve">Sweep test: seed two dark parcels with the same normalized SPV owner name; assert one captured spv_name key attaches both; assert an ambiguous owner name is left in sweep.ambiguous.</w:t>
      </w:r>
    </w:p>
    <w:p>
      <w:pPr>
        <w:pStyle w:val="ListParagraph"/>
        <w:numPr>
          <w:ilvl w:val="0"/>
          <w:numId w:val="3"/>
        </w:numPr>
        <w:spacing w:after="60" w:line="276"/>
      </w:pPr>
      <w:r>
        <w:t xml:space="preserve">ARN test: assert normalize_arn('25 18 060 613 08750') == '25180606130875000000' and resolves to PRO_77861.</w:t>
      </w:r>
    </w:p>
    <w:p>
      <w:pPr>
        <w:pStyle w:val="ListParagraph"/>
        <w:numPr>
          <w:ilvl w:val="0"/>
          <w:numId w:val="3"/>
        </w:numPr>
        <w:spacing w:after="60" w:line="276"/>
      </w:pPr>
      <w:r>
        <w:t xml:space="preserve">All destructive tests assert the db path contains /tmp or cleo_test, matching the M1 guard.</w:t>
      </w:r>
    </w:p>
    <w:p>
      <w:pPr>
        <w:pStyle w:val="Heading1"/>
      </w:pPr>
      <w:r>
        <w:t xml:space="preserve">13. Biddington pilot (executable acceptance)</w:t>
      </w:r>
    </w:p>
    <w:p>
      <w:pPr>
        <w:spacing w:after="120" w:line="276"/>
      </w:pPr>
      <w:r>
        <w:t xml:space="preserve">Run the full payload against a copy of cleo.db. This is the acceptance gate for M2 through M5.</w:t>
      </w:r>
    </w:p>
    <w:p>
      <w:pPr>
        <w:pStyle w:val="Heading2"/>
      </w:pPr>
      <w:r>
        <w:t xml:space="preserve">13.1 Parent and merges</w:t>
      </w:r>
    </w:p>
    <w:p>
      <w:pPr>
        <w:spacing w:after="120" w:line="276"/>
      </w:pPr>
      <w:r>
        <w:t xml:space="preserve">Parent: The Biddington Group (new GRP_ id). merge_candidates: GRP_107934 (Kilbarry Holding Corp), GRP_64356 (The Quadrillium Corp), GRP_114797 and GRP_61921 (Biddington Yonge Street entities), GRP_34862 (Biddington Credit Corporation).</w:t>
      </w:r>
    </w:p>
    <w:p>
      <w:pPr>
        <w:pStyle w:val="Heading2"/>
      </w:pPr>
      <w:r>
        <w:t xml:space="preserve">13.2 Match keys</w:t>
      </w:r>
    </w:p>
    <w:p>
      <w:pPr>
        <w:spacing w:after="120" w:line="276"/>
      </w:pPr>
      <w:r>
        <w:t xml:space="preserve">address: 1962 Yonge St Suite 200 Toronto; 1960 Yonge St. spv_name: Kilbarry Holding Corporation; Kilbarry Holdings Corporation; The Quadrillium Corporation; Biddington Homes Wilmington Inc; Biddington Property Management Corp. domain: biddington.com (identity only).</w:t>
      </w:r>
    </w:p>
    <w:p>
      <w:pPr>
        <w:pStyle w:val="Heading2"/>
      </w:pPr>
      <w:r>
        <w:t xml:space="preserve">13.3 Properties: parser-verified ARNs</w:t>
      </w:r>
    </w:p>
    <w:p>
      <w:pPr>
        <w:spacing w:after="120" w:line="276"/>
      </w:pPr>
      <w:r>
        <w:t xml:space="preserve">All twelve ARNs below were produced by running the 13 GeoWarehouse files through engines/gw (parse_gw_html + normalize_record) on June 30, 2026, not by scraping. Four already exist in properties as dark parcels (capture fills the owner). Eight are not yet in properties; capture creates a manual_properties row, then links. Both branches are part of the acceptance.</w:t>
      </w:r>
    </w:p>
    <w:p>
      <w:pPr>
        <w:spacing w:after="120" w:line="276"/>
      </w:pPr>
      <w:r>
        <w:t xml:space="preserve">Group A, already in properties (dark, fill on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700"/>
        <w:gridCol w:w="1300"/>
        <w:gridCol w:w="1960"/>
      </w:tblGrid>
      <w:tr>
        <w:trPr>
          <w:tblHeader/>
        </w:trPr>
        <w:tc>
          <w:tcPr>
            <w:tcW w:type="dxa" w:w="340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tcPr>
          <w:p>
            <w:r>
              <w:rPr>
                <w:b/>
                <w:bCs/>
                <w:color w:val="FFFFFF"/>
                <w:sz w:val="18"/>
                <w:szCs w:val="18"/>
              </w:rPr>
              <w:t xml:space="preserve">Address (engine)</w:t>
            </w:r>
          </w:p>
        </w:tc>
        <w:tc>
          <w:tcPr>
            <w:tcW w:type="dxa" w:w="270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tcPr>
          <w:p>
            <w:r>
              <w:rPr>
                <w:b/>
                <w:bCs/>
                <w:color w:val="FFFFFF"/>
                <w:sz w:val="18"/>
                <w:szCs w:val="18"/>
              </w:rPr>
              <w:t xml:space="preserve">ARN (arn_api)</w:t>
            </w:r>
          </w:p>
        </w:tc>
        <w:tc>
          <w:tcPr>
            <w:tcW w:type="dxa" w:w="130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tcPr>
          <w:p>
            <w:r>
              <w:rPr>
                <w:b/>
                <w:bCs/>
                <w:color w:val="FFFFFF"/>
                <w:sz w:val="18"/>
                <w:szCs w:val="18"/>
              </w:rPr>
              <w:t xml:space="preserve">Property</w:t>
            </w:r>
          </w:p>
        </w:tc>
        <w:tc>
          <w:tcPr>
            <w:tcW w:type="dxa" w:w="196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tcPr>
          <w:p>
            <w:r>
              <w:rPr>
                <w:b/>
                <w:bCs/>
                <w:color w:val="FFFFFF"/>
                <w:sz w:val="18"/>
                <w:szCs w:val="18"/>
              </w:rPr>
              <w:t xml:space="preserve">State</w:t>
            </w:r>
          </w:p>
        </w:tc>
      </w:tr>
      <w:tr>
        <w:trPr>
          <w:tblHeader w:val="false"/>
        </w:trP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969 Fennell Avenue East, Hamilton</w:t>
            </w:r>
          </w:p>
        </w:tc>
        <w:tc>
          <w:tcPr>
            <w:tcW w:type="dxa" w:w="2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25180606130875000000</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PRO_77861</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dark</w:t>
            </w:r>
          </w:p>
        </w:tc>
      </w:tr>
      <w:tr>
        <w:trPr>
          <w:tblHeader w:val="false"/>
        </w:trP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1008 Wilson Avenue, North York</w:t>
            </w:r>
          </w:p>
        </w:tc>
        <w:tc>
          <w:tcPr>
            <w:tcW w:type="dxa" w:w="2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19080315000260000000</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PRO_76051</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dark</w:t>
            </w:r>
          </w:p>
        </w:tc>
      </w:tr>
      <w:tr>
        <w:trPr>
          <w:tblHeader w:val="false"/>
        </w:trP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2355 Warden Avenue, Scarborough</w:t>
            </w:r>
          </w:p>
        </w:tc>
        <w:tc>
          <w:tcPr>
            <w:tcW w:type="dxa" w:w="2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19011030310020100000</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PRO_79231</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dark</w:t>
            </w:r>
          </w:p>
        </w:tc>
      </w:tr>
      <w:tr>
        <w:trPr>
          <w:tblHeader w:val="false"/>
        </w:trP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303 Upper Middle Road East, Oakville</w:t>
            </w:r>
          </w:p>
        </w:tc>
        <w:tc>
          <w:tcPr>
            <w:tcW w:type="dxa" w:w="2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24010100301945000000</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PRO_84236</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dark</w:t>
            </w:r>
          </w:p>
        </w:tc>
      </w:tr>
    </w:tbl>
    <w:p>
      <w:pPr>
        <w:spacing w:after="120" w:line="276"/>
      </w:pPr>
      <w:r>
        <w:t xml:space="preserve">Group B, not in properties (create manual_properties, then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700"/>
        <w:gridCol w:w="2760"/>
      </w:tblGrid>
      <w:tr>
        <w:trPr>
          <w:tblHeader/>
        </w:trPr>
        <w:tc>
          <w:tcPr>
            <w:tcW w:type="dxa" w:w="390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tcPr>
          <w:p>
            <w:r>
              <w:rPr>
                <w:b/>
                <w:bCs/>
                <w:color w:val="FFFFFF"/>
                <w:sz w:val="18"/>
                <w:szCs w:val="18"/>
              </w:rPr>
              <w:t xml:space="preserve">Address (engine)</w:t>
            </w:r>
          </w:p>
        </w:tc>
        <w:tc>
          <w:tcPr>
            <w:tcW w:type="dxa" w:w="270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tcPr>
          <w:p>
            <w:r>
              <w:rPr>
                <w:b/>
                <w:bCs/>
                <w:color w:val="FFFFFF"/>
                <w:sz w:val="18"/>
                <w:szCs w:val="18"/>
              </w:rPr>
              <w:t xml:space="preserve">ARN (arn_api)</w:t>
            </w:r>
          </w:p>
        </w:tc>
        <w:tc>
          <w:tcPr>
            <w:tcW w:type="dxa" w:w="276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tcPr>
          <w:p>
            <w:r>
              <w:rPr>
                <w:b/>
                <w:bCs/>
                <w:color w:val="FFFFFF"/>
                <w:sz w:val="18"/>
                <w:szCs w:val="18"/>
              </w:rPr>
              <w:t xml:space="preserve">Use</w:t>
            </w:r>
          </w:p>
        </w:tc>
      </w:tr>
      <w:tr>
        <w:trPr>
          <w:tblHeader w:val="false"/>
        </w:trPr>
        <w:tc>
          <w:tcPr>
            <w:tcW w:type="dxa" w:w="3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1889 Albion Road, Etobicoke</w:t>
            </w:r>
          </w:p>
        </w:tc>
        <w:tc>
          <w:tcPr>
            <w:tcW w:type="dxa" w:w="2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19190444600095000000</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Industrial mall</w:t>
            </w:r>
          </w:p>
        </w:tc>
      </w:tr>
      <w:tr>
        <w:trPr>
          <w:tblHeader w:val="false"/>
        </w:trPr>
        <w:tc>
          <w:tcPr>
            <w:tcW w:type="dxa" w:w="3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235 Dixon Road, Etobicoke</w:t>
            </w:r>
          </w:p>
        </w:tc>
        <w:tc>
          <w:tcPr>
            <w:tcW w:type="dxa" w:w="2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19190253350060000000</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No Frills plaza (Quadrillium)</w:t>
            </w:r>
          </w:p>
        </w:tc>
      </w:tr>
      <w:tr>
        <w:trPr>
          <w:tblHeader w:val="false"/>
        </w:trPr>
        <w:tc>
          <w:tcPr>
            <w:tcW w:type="dxa" w:w="3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2202 Weston Road, Toronto</w:t>
            </w:r>
          </w:p>
        </w:tc>
        <w:tc>
          <w:tcPr>
            <w:tcW w:type="dxa" w:w="2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19140642600260000000</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Serena Court apartments</w:t>
            </w:r>
          </w:p>
        </w:tc>
      </w:tr>
      <w:tr>
        <w:trPr>
          <w:tblHeader w:val="false"/>
        </w:trPr>
        <w:tc>
          <w:tcPr>
            <w:tcW w:type="dxa" w:w="3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21 Fasken Drive, Etobicoke</w:t>
            </w:r>
          </w:p>
        </w:tc>
        <w:tc>
          <w:tcPr>
            <w:tcW w:type="dxa" w:w="2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19190383000250000000</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Industrial</w:t>
            </w:r>
          </w:p>
        </w:tc>
      </w:tr>
      <w:tr>
        <w:trPr>
          <w:tblHeader w:val="false"/>
        </w:trPr>
        <w:tc>
          <w:tcPr>
            <w:tcW w:type="dxa" w:w="3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296 Carlingview Drive, Etobicoke</w:t>
            </w:r>
          </w:p>
        </w:tc>
        <w:tc>
          <w:tcPr>
            <w:tcW w:type="dxa" w:w="2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19190383000280000000</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Industrial</w:t>
            </w:r>
          </w:p>
        </w:tc>
      </w:tr>
      <w:tr>
        <w:trPr>
          <w:tblHeader w:val="false"/>
        </w:trPr>
        <w:tc>
          <w:tcPr>
            <w:tcW w:type="dxa" w:w="3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276 Carlingview Drive, Etobicoke</w:t>
            </w:r>
          </w:p>
        </w:tc>
        <w:tc>
          <w:tcPr>
            <w:tcW w:type="dxa" w:w="2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19190383000310000000</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Industrial / parking</w:t>
            </w:r>
          </w:p>
        </w:tc>
      </w:tr>
      <w:tr>
        <w:trPr>
          <w:tblHeader w:val="false"/>
        </w:trPr>
        <w:tc>
          <w:tcPr>
            <w:tcW w:type="dxa" w:w="3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276 Carlingview Drive, Etobicoke</w:t>
            </w:r>
          </w:p>
        </w:tc>
        <w:tc>
          <w:tcPr>
            <w:tcW w:type="dxa" w:w="2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19190383000320000000</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Industrial / parking</w:t>
            </w:r>
          </w:p>
        </w:tc>
      </w:tr>
      <w:tr>
        <w:trPr>
          <w:tblHeader w:val="false"/>
        </w:trPr>
        <w:tc>
          <w:tcPr>
            <w:tcW w:type="dxa" w:w="3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219-245 Wilmington Avenue, North York</w:t>
            </w:r>
          </w:p>
        </w:tc>
        <w:tc>
          <w:tcPr>
            <w:tcW w:type="dxa" w:w="2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19080544400030100000</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Development land</w:t>
            </w:r>
          </w:p>
        </w:tc>
      </w:tr>
    </w:tbl>
    <w:p>
      <w:pPr>
        <w:spacing w:after="120" w:line="276"/>
      </w:pPr>
      <w:r>
        <w:rPr>
          <w:b/>
          <w:bCs/>
        </w:rPr>
        <w:t xml:space="preserve">Note: </w:t>
      </w:r>
      <w:r>
        <w:t xml:space="preserve">the engine returns cleaner addresses than the raw scrape (1008 not 1090 Wilson, 2355 not 2371 Warden), which is the point of routing GW data through it. 1965 Yonge St carried no assessment in the export and is excluded until re-pulled.</w:t>
      </w:r>
    </w:p>
    <w:p>
      <w:pPr>
        <w:pStyle w:val="Heading2"/>
      </w:pPr>
      <w:r>
        <w:t xml:space="preserve">13.4 Pilot order</w:t>
      </w:r>
    </w:p>
    <w:p>
      <w:pPr>
        <w:spacing w:after="120" w:line="276"/>
      </w:pPr>
      <w:r>
        <w:t xml:space="preserve">Run Group A first to prove the dark-fill path end to end, then Group B to exercise the manual_properties branch. Both groups belong to the same Biddington commit; the split is about which code path each parcel takes, not data confidence.</w:t>
      </w:r>
    </w:p>
    <w:p>
      <w:pPr>
        <w:pStyle w:val="Heading2"/>
      </w:pPr>
      <w:r>
        <w:t xml:space="preserve">13.5 Acceptance criteria</w:t>
      </w:r>
    </w:p>
    <w:p>
      <w:pPr>
        <w:pStyle w:val="ListParagraph"/>
        <w:numPr>
          <w:ilvl w:val="0"/>
          <w:numId w:val="3"/>
        </w:numPr>
        <w:spacing w:after="60" w:line="276"/>
      </w:pPr>
      <w:r>
        <w:t xml:space="preserve">PRO_77861 (Fennell) owner becomes the Biddington parent after capture.</w:t>
      </w:r>
    </w:p>
    <w:p>
      <w:pPr>
        <w:pStyle w:val="ListParagraph"/>
        <w:numPr>
          <w:ilvl w:val="0"/>
          <w:numId w:val="3"/>
        </w:numPr>
        <w:spacing w:after="60" w:line="276"/>
      </w:pPr>
      <w:r>
        <w:t xml:space="preserve">All resolvable ARNs attach as owns; any not found in properties are listed in warnings, not silently dropped.</w:t>
      </w:r>
    </w:p>
    <w:p>
      <w:pPr>
        <w:pStyle w:val="ListParagraph"/>
        <w:numPr>
          <w:ilvl w:val="0"/>
          <w:numId w:val="3"/>
        </w:numPr>
        <w:spacing w:after="60" w:line="276"/>
      </w:pPr>
      <w:r>
        <w:t xml:space="preserve">The five candidate groups appear in merges_proposed; after approved commit, the parent shows the consolidated property_count and the pool groups are merged.</w:t>
      </w:r>
    </w:p>
    <w:p>
      <w:pPr>
        <w:pStyle w:val="ListParagraph"/>
        <w:numPr>
          <w:ilvl w:val="0"/>
          <w:numId w:val="3"/>
        </w:numPr>
        <w:spacing w:after="60" w:line="276"/>
      </w:pPr>
      <w:r>
        <w:t xml:space="preserve">A second identical POST changes nothing (idempotent).</w:t>
      </w:r>
    </w:p>
    <w:p>
      <w:pPr>
        <w:pStyle w:val="ListParagraph"/>
        <w:numPr>
          <w:ilvl w:val="0"/>
          <w:numId w:val="3"/>
        </w:numPr>
        <w:spacing w:after="60" w:line="276"/>
      </w:pPr>
      <w:r>
        <w:t xml:space="preserve">Forum is NOT run in this pilot; it is a separate, hand-verified pass per Section 2 D3 and the specificity guard.</w:t>
      </w:r>
    </w:p>
    <w:p>
      <w:pPr>
        <w:pStyle w:val="Heading1"/>
      </w:pPr>
      <w:r>
        <w:t xml:space="preserve">14. Milestones and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rPr>
          <w:tblHeader/>
        </w:trPr>
        <w:tc>
          <w:tcPr>
            <w:tcW w:type="dxa" w:w="90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tcPr>
          <w:p>
            <w:r>
              <w:rPr>
                <w:b/>
                <w:bCs/>
                <w:color w:val="FFFFFF"/>
                <w:sz w:val="18"/>
                <w:szCs w:val="18"/>
              </w:rPr>
              <w:t xml:space="preserve">ID</w:t>
            </w:r>
          </w:p>
        </w:tc>
        <w:tc>
          <w:tcPr>
            <w:tcW w:type="dxa" w:w="270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tcPr>
          <w:p>
            <w:r>
              <w:rPr>
                <w:b/>
                <w:bCs/>
                <w:color w:val="FFFFFF"/>
                <w:sz w:val="18"/>
                <w:szCs w:val="18"/>
              </w:rPr>
              <w:t xml:space="preserve">Deliverable</w:t>
            </w:r>
          </w:p>
        </w:tc>
        <w:tc>
          <w:tcPr>
            <w:tcW w:type="dxa" w:w="576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tcPr>
          <w:p>
            <w:r>
              <w:rPr>
                <w:b/>
                <w:bCs/>
                <w:color w:val="FFFFFF"/>
                <w:sz w:val="18"/>
                <w:szCs w:val="18"/>
              </w:rPr>
              <w:t xml:space="preserve">Done when</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M2</w:t>
            </w:r>
          </w:p>
        </w:tc>
        <w:tc>
          <w:tcPr>
            <w:tcW w:type="dxa" w:w="2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Capture endpoint + payload + compiler functions</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M2 test passes; dry_run diff correct; idempotent; low-specificity keys rejected.</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M3</w:t>
            </w:r>
          </w:p>
        </w:tc>
        <w:tc>
          <w:tcPr>
            <w:tcW w:type="dxa" w:w="2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Cowork producer skill</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Given a URL plus GW exports, Claude posts a valid payload and shows the diff; commits on approval.</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M4</w:t>
            </w:r>
          </w:p>
        </w:tc>
        <w:tc>
          <w:tcPr>
            <w:tcW w:type="dxa" w:w="2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Match-key sweep</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Sweep test passes; Biddington address/SPV keys attach any further dark parcels; ambiguous cases surface, not attach.</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M5</w:t>
            </w:r>
          </w:p>
        </w:tc>
        <w:tc>
          <w:tcPr>
            <w:tcW w:type="dxa" w:w="2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Merge integration</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merge_candidates fold via execute_merge on approved commit; chains resolve; reversible via existing unmerge.</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Pilot</w:t>
            </w:r>
          </w:p>
        </w:tc>
        <w:tc>
          <w:tcPr>
            <w:tcW w:type="dxa" w:w="2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Biddington end-to-end on a DB copy</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Section 13 acceptance criteria all met.</w:t>
            </w:r>
          </w:p>
        </w:tc>
      </w:tr>
    </w:tbl>
    <w:p>
      <w:pPr>
        <w:pStyle w:val="Heading1"/>
      </w:pPr>
      <w:r>
        <w:t xml:space="preserve">15. Runbook (safe rollout)</w:t>
      </w:r>
    </w:p>
    <w:p>
      <w:pPr>
        <w:pStyle w:val="ListParagraph"/>
        <w:numPr>
          <w:ilvl w:val="0"/>
          <w:numId w:val="6"/>
        </w:numPr>
        <w:spacing w:after="60" w:line="276"/>
      </w:pPr>
      <w:r>
        <w:t xml:space="preserve">Copy data/cleo.db to /tmp/cleo_test.db.</w:t>
      </w:r>
    </w:p>
    <w:p>
      <w:pPr>
        <w:pStyle w:val="ListParagraph"/>
        <w:numPr>
          <w:ilvl w:val="0"/>
          <w:numId w:val="6"/>
        </w:numPr>
        <w:spacing w:after="60" w:line="276"/>
      </w:pPr>
      <w:r>
        <w:t xml:space="preserve">Run the M1 and M2 tests against the copy; both green.</w:t>
      </w:r>
    </w:p>
    <w:p>
      <w:pPr>
        <w:pStyle w:val="ListParagraph"/>
        <w:numPr>
          <w:ilvl w:val="0"/>
          <w:numId w:val="6"/>
        </w:numPr>
        <w:spacing w:after="60" w:line="276"/>
      </w:pPr>
      <w:r>
        <w:t xml:space="preserve">Start the API against the copy; POST the Biddington payload with dry_run=true; review the diff.</w:t>
      </w:r>
    </w:p>
    <w:p>
      <w:pPr>
        <w:pStyle w:val="ListParagraph"/>
        <w:numPr>
          <w:ilvl w:val="0"/>
          <w:numId w:val="6"/>
        </w:numPr>
        <w:spacing w:after="60" w:line="276"/>
      </w:pPr>
      <w:r>
        <w:t xml:space="preserve">Re-POST with dry_run=false and apply_merges=true; confirm acceptance criteria.</w:t>
      </w:r>
    </w:p>
    <w:p>
      <w:pPr>
        <w:pStyle w:val="ListParagraph"/>
        <w:numPr>
          <w:ilvl w:val="0"/>
          <w:numId w:val="6"/>
        </w:numPr>
        <w:spacing w:after="60" w:line="276"/>
      </w:pPr>
      <w:r>
        <w:t xml:space="preserve">Only after the copy passes, point the API at the real data/cleo.db and re-run the Biddington capture (dry_run first).</w:t>
      </w:r>
    </w:p>
    <w:p>
      <w:pPr>
        <w:pStyle w:val="ListParagraph"/>
        <w:numPr>
          <w:ilvl w:val="0"/>
          <w:numId w:val="6"/>
        </w:numPr>
        <w:spacing w:after="60" w:line="276"/>
      </w:pPr>
      <w:r>
        <w:t xml:space="preserve">Capture is durable: a later Realtrack/GW recompile re-derives the captured owners automatically.</w:t>
      </w:r>
    </w:p>
    <w:p>
      <w:pPr>
        <w:spacing w:after="60"/>
      </w:pPr>
      <w:r>
        <w:t xml:space="preserve"/>
      </w:r>
    </w:p>
    <w:p>
      <w:pPr>
        <w:pBdr>
          <w:top w:val="single" w:color="BBBBBB" w:sz="4" w:space="2"/>
        </w:pBdr>
        <w:spacing w:before="120"/>
      </w:pPr>
      <w:r>
        <w:rPr>
          <w:i/>
          <w:iCs/>
          <w:color w:val="777777"/>
          <w:sz w:val="17"/>
          <w:szCs w:val="17"/>
        </w:rPr>
        <w:t xml:space="preserve">Grounded in the cleo-turbo repository as of June 30, 2026: cleo/web/app.py, cleo/web/deps.py, cleo/web/routes/notes.py, cleo/compiler/owner_overrides.py, cleo/database/group_merge_ops.py, cleo/atoms/normalize.py, scripts/test_portfolio_capture_m1.py, scripts/migrate_portfolio_capture.py, and the live schema in data/cleo.db.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Cleo Turbo  |  Portfolio Capture build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decimal"/>
      <w:lvlText w:val="%1."/>
      <w:lvlJc w:val="left"/>
      <w:pPr>
        <w:ind w:left="540" w:hanging="260"/>
      </w:pPr>
    </w:lvl>
  </w:abstractNum>
  <w:abstractNum w:abstractNumId="5" w15:restartNumberingAfterBreak="0">
    <w:multiLevelType w:val="hybridMultilevel"/>
    <w:lvl w:ilvl="0" w15:tentative="1">
      <w:start w:val="1"/>
      <w:numFmt w:val="decimal"/>
      <w:lvlText w:val="%1."/>
      <w:lvlJc w:val="left"/>
      <w:pPr>
        <w:ind w:left="540" w:hanging="260"/>
      </w:pPr>
    </w:lvl>
  </w:abstractNum>
  <w:abstractNum w:abstractNumId="6"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60"/>
      <w:outlineLvl w:val="0"/>
    </w:pPr>
    <w:rPr>
      <w:rFonts w:ascii="Arial" w:cs="Arial" w:eastAsia="Arial" w:hAnsi="Arial"/>
      <w:b/>
      <w:bCs/>
      <w:color w:val="1F3F66"/>
      <w:sz w:val="28"/>
      <w:szCs w:val="28"/>
    </w:rPr>
  </w:style>
  <w:style w:type="paragraph" w:styleId="Heading2">
    <w:name w:val="Heading 2"/>
    <w:basedOn w:val="Normal"/>
    <w:next w:val="Normal"/>
    <w:qFormat/>
    <w:pPr>
      <w:spacing w:after="90" w:before="160"/>
      <w:outlineLvl w:val="1"/>
    </w:pPr>
    <w:rPr>
      <w:rFonts w:ascii="Arial" w:cs="Arial" w:eastAsia="Arial" w:hAnsi="Arial"/>
      <w:b/>
      <w:bCs/>
      <w:color w:val="2E5A8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2026-06-30T20:07:03.223Z</dcterms:created>
  <dcterms:modified xsi:type="dcterms:W3CDTF">2026-06-30T20:07:03.223Z</dcterms:modified>
</cp:coreProperties>
</file>

<file path=docProps/custom.xml><?xml version="1.0" encoding="utf-8"?>
<Properties xmlns="http://schemas.openxmlformats.org/officeDocument/2006/custom-properties" xmlns:vt="http://schemas.openxmlformats.org/officeDocument/2006/docPropsVTypes"/>
</file>