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Harnessing CASE and CLR Through LIF for the IEEE P1484.2 LER Ecosystem</w:t>
      </w:r>
    </w:p>
    <w:p>
      <w:pPr>
        <w:jc w:val="center"/>
      </w:pPr>
      <w:r>
        <w:rPr>
          <w:i/>
          <w:sz w:val="24"/>
        </w:rPr>
        <w:t>A Strategic and Technical Role for the Learner Information Framework within the CASE Global Ecosystem (CGE)</w:t>
      </w:r>
    </w:p>
    <w:p>
      <w:pPr>
        <w:jc w:val="center"/>
      </w:pPr>
      <w:r>
        <w:rPr>
          <w:i/>
        </w:rPr>
        <w:t>Strategy Memo  |  Internal and partner review</w:t>
        <w:br/>
      </w:r>
      <w:r>
        <w:rPr>
          <w:i/>
        </w:rPr>
        <w:t>April 2026</w:t>
      </w:r>
    </w:p>
    <w:p/>
    <w:p>
      <w:pPr>
        <w:pStyle w:val="Heading1"/>
      </w:pPr>
      <w:r>
        <w:t>Executive Summary</w:t>
      </w:r>
    </w:p>
    <w:p>
      <w:r>
        <w:rPr>
          <w:b w:val="0"/>
          <w:i w:val="0"/>
        </w:rPr>
        <w:t>The CASE Global Ecosystem (CGE) vision calls for federated, openly governed public infrastructure for learning standards, competencies, and skills frameworks. In parallel, IEEE P1484.2 defines the Learning and Employment Record (LER) Ecosystem — an architectural recommendation that specifies four interoperating roles (Awarder, Holder, Reviewer, Registry) for issuing and verifying education and employment credentials, using W3C Verifiable Credentials at the protocol layer. A separate IEEE standard, 1484.20.2, defines interoperable competency data at the data-dictionary layer.</w:t>
      </w:r>
    </w:p>
    <w:p>
      <w:r>
        <w:rPr>
          <w:b w:val="0"/>
          <w:i w:val="0"/>
        </w:rPr>
        <w:t>A crucial architectural insight ties CGE and the LER Ecosystem together: a CASE server can simultaneously serve as a Comprehensive Learner Record (CLR) server. Framework nodes (CASE CFDocuments, CFItems, CFAssociations) and achievement nodes (CLR Achievements, Assertions, VerifiableCredentials) share the same addressable, verifiable graph. The authoritative crosswalks between CASE and CLR already exist — the EDUcore knowledge graph records spec-annotated MAPS_TO edges from CASE identifiers, associationTypes, URIs, and node references directly onto CLR identifiers, associations, and types, and further onto CTDL and CEDS.</w:t>
      </w:r>
    </w:p>
    <w:p>
      <w:r>
        <w:rPr>
          <w:b w:val="0"/>
          <w:i w:val="0"/>
        </w:rPr>
        <w:t>The Learner Information Framework (LIF) is the natural orchestration and aggregation layer for making this convergence operational. LIF already ingests data from SIS, LMS, and HR systems; normalizes it into a schema-governed record that includes first-class CompetencyFramework, Credential, Assessment, Course, Position, Program, Organization, and Person entities; and exposes it through GraphQL, semantic search, and AI advisor surfaces. With targeted extensions — CASE CFPackage emission from MDR, CLR VerifiableCredential issuance from the Translator, and federation-aware discovery — LIF becomes a reference implementation of how a CGE node participates in the global federation while playing Awarder, Holder, and Reviewer roles in the IEEE P1484.2 LER Ecosystem.</w:t>
      </w:r>
    </w:p>
    <w:p>
      <w:r>
        <w:rPr>
          <w:b/>
          <w:i w:val="0"/>
        </w:rPr>
        <w:t>This memo:</w:t>
      </w:r>
    </w:p>
    <w:p>
      <w:pPr>
        <w:pStyle w:val="ListBullet"/>
      </w:pPr>
      <w:r>
        <w:t>Establishes the correct standards landscape — CGE, CASE, CLR, CTDL, IEEE P1484.2, and IEEE 1484.20.2 — and the role each plays.</w:t>
      </w:r>
    </w:p>
    <w:p>
      <w:pPr>
        <w:pStyle w:val="ListBullet"/>
      </w:pPr>
      <w:r>
        <w:t>Shows how the CLR schema already depends on CASE identifiers and associations, citing specific authoritative MAPS_TO edges.</w:t>
      </w:r>
    </w:p>
    <w:p>
      <w:pPr>
        <w:pStyle w:val="ListBullet"/>
      </w:pPr>
      <w:r>
        <w:t>Maps LIF's existing entities and services onto CGE federation and the four LER Ecosystem roles.</w:t>
      </w:r>
    </w:p>
    <w:p>
      <w:pPr>
        <w:pStyle w:val="ListBullet"/>
      </w:pPr>
      <w:r>
        <w:t>Specifies the concrete extensions required in MDR, Translator, GraphQL, Advisor, and Semantic Search to make LIF a certified CGE node and LER issuer.</w:t>
      </w:r>
    </w:p>
    <w:p>
      <w:pPr>
        <w:pStyle w:val="ListBullet"/>
      </w:pPr>
      <w:r>
        <w:t>Provides strategic use cases and a phased roadmap aligned to the CGE five-year transition arc.</w:t>
      </w:r>
    </w:p>
    <w:p>
      <w:pPr>
        <w:pStyle w:val="Heading1"/>
      </w:pPr>
      <w:r>
        <w:t>1. The Standards Landscape</w:t>
      </w:r>
    </w:p>
    <w:p>
      <w:pPr>
        <w:pStyle w:val="Heading2"/>
      </w:pPr>
      <w:r>
        <w:t>1.1 CASE — competency frameworks and learning objectives</w:t>
      </w:r>
    </w:p>
    <w:p>
      <w:r>
        <w:rPr>
          <w:b w:val="0"/>
          <w:i w:val="0"/>
        </w:rPr>
        <w:t>CASE 1.1 (1EdTech) is the Competencies and Academic Standards Exchange service. Its data dictionary defines CFDocument as the root of a competency framework, CFItem as a specific competency or grouping, CFAssociation as a relationship between items or documents, CFPackage as the full bundle (document + items + associations + definitions), and supporting classes for CFConcept, CFSubject, CFItemType, CFRubric, and licenses. CASE is JSON-LD and spans all four EdMatrix layers: Data Dictionary, Logical Model, Serialization, and Protocol.</w:t>
      </w:r>
    </w:p>
    <w:p>
      <w:pPr>
        <w:pStyle w:val="Heading2"/>
      </w:pPr>
      <w:r>
        <w:t>1.2 CLR — comprehensive learner record</w:t>
      </w:r>
    </w:p>
    <w:p>
      <w:r>
        <w:rPr>
          <w:b w:val="0"/>
          <w:i w:val="0"/>
        </w:rPr>
        <w:t>CLR 2.0 (1EdTech) is the data model for digital records of learning and achievements. Its classes include ClrCredential and ClrSubject, Achievement, Alignment, Association, Criteria, Evidence, Profile, Proof, CredentialSubject, VerifiableCredential, and EndorsementCredential. CLR is JSON and covers Data Dictionary, Logical Model, and Serialization — but not Protocol. The LER Ecosystem supplies the missing protocol layer.</w:t>
      </w:r>
    </w:p>
    <w:p>
      <w:pPr>
        <w:pStyle w:val="Heading2"/>
      </w:pPr>
      <w:r>
        <w:t>1.3 CTDL — credential transparency</w:t>
      </w:r>
    </w:p>
    <w:p>
      <w:r>
        <w:rPr>
          <w:b w:val="0"/>
          <w:i w:val="0"/>
        </w:rPr>
        <w:t>CTDL (Credential Engine) provides 138 classes and 396 properties describing credentials, organizations, assessments, learning opportunities, competencies, and their relationships. It is the connective tissue between CASE-style competencies and CLR-style achievements when mapping to the broader credentials economy.</w:t>
      </w:r>
    </w:p>
    <w:p>
      <w:pPr>
        <w:pStyle w:val="Heading2"/>
      </w:pPr>
      <w:r>
        <w:t>1.4 IEEE P1484.2 — the LER Ecosystem</w:t>
      </w:r>
    </w:p>
    <w:p>
      <w:r>
        <w:rPr>
          <w:b w:val="0"/>
          <w:i w:val="0"/>
        </w:rPr>
        <w:t>IEEE P1484.2 is the architectural recommendation that ties these data models into an exchange ecosystem. It defines four roles:</w:t>
      </w:r>
    </w:p>
    <w:p>
      <w:pPr>
        <w:pStyle w:val="ListBullet"/>
      </w:pPr>
      <w:r>
        <w:t>Awarder — issues credentials and achievements (e.g., a state agency, an institution, an employer, or a credentialing body).</w:t>
      </w:r>
    </w:p>
    <w:p>
      <w:pPr>
        <w:pStyle w:val="ListBullet"/>
      </w:pPr>
      <w:r>
        <w:t>Holder — the learner or worker who receives and controls their records.</w:t>
      </w:r>
    </w:p>
    <w:p>
      <w:pPr>
        <w:pStyle w:val="ListBullet"/>
      </w:pPr>
      <w:r>
        <w:t>Reviewer — a party that verifies credentials or makes decisions based on them (e.g., admissions, employers, next-step institutions).</w:t>
      </w:r>
    </w:p>
    <w:p>
      <w:pPr>
        <w:pStyle w:val="ListBullet"/>
      </w:pPr>
      <w:r>
        <w:t>Registry — trusted infrastructure that resolves framework URIs, stores public keys, and anchors provenance.</w:t>
      </w:r>
    </w:p>
    <w:p>
      <w:r>
        <w:rPr>
          <w:b w:val="0"/>
          <w:i w:val="0"/>
        </w:rPr>
        <w:t>P1484.2 uses W3C Verifiable Credentials (VC) at the Protocol layer, which aligns directly with CLR's ClrCredential and VerifiableCredential classes. In practical terms, an LER is a CLR-shaped VC, carrying Achievement and Alignment objects that reference CASE CFItem URIs, flowing through the Awarder → Holder → Reviewer pattern, anchored by one or more Registries.</w:t>
      </w:r>
    </w:p>
    <w:p>
      <w:pPr>
        <w:pStyle w:val="Heading2"/>
      </w:pPr>
      <w:r>
        <w:t>1.5 IEEE 1484.20.2 — interoperable competency data</w:t>
      </w:r>
    </w:p>
    <w:p>
      <w:r>
        <w:rPr>
          <w:b w:val="0"/>
          <w:i w:val="0"/>
        </w:rPr>
        <w:t>A separate standard at the Data Dictionary layer, IEEE 1484.20.2 defines interoperable competency data. It complements CASE in formal competency description. CGE governance should harmonize both for cross-border interoperability.</w:t>
      </w:r>
    </w:p>
    <w:p>
      <w:pPr>
        <w:pStyle w:val="Heading2"/>
      </w:pPr>
      <w:r>
        <w:t>1.6 CGE — federated public infrastructure</w:t>
      </w:r>
    </w:p>
    <w:p>
      <w:r>
        <w:rPr>
          <w:b w:val="0"/>
          <w:i w:val="0"/>
        </w:rPr>
        <w:t>CGE is the evolution of CASE Network 2 into a federated, globally governed public utility. Regions, states, and institutions host their own CASE frameworks; a synchronized trust network makes them interoperable and discoverable. Because a CASE server can also play Awarder and Registry roles for LER, the same federation that publishes frameworks can anchor the verifiable credentials that reference those frameworks.</w:t>
      </w:r>
    </w:p>
    <w:p>
      <w:pPr>
        <w:pStyle w:val="Heading1"/>
      </w:pPr>
      <w:r>
        <w:t>2. Why a CASE Server Is Also a CLR Server in the LER Ecosystem</w:t>
      </w:r>
    </w:p>
    <w:p>
      <w:r>
        <w:rPr>
          <w:b w:val="0"/>
          <w:i w:val="0"/>
        </w:rPr>
        <w:t>The coupling between CASE and CLR is not aspirational — it is baked into the schemas and confirmed by spec-annotated crosswalks in the EDUcore knowledge graph. CASE CFItem URIs are the targets of CLR Alignment objects; CASE CFAssociation semantics inform CLR Association relationships; CASE identifiers flow directly into CLR identifier fields.</w:t>
      </w:r>
    </w:p>
    <w:p>
      <w:r>
        <w:rPr>
          <w:b/>
          <w:i w:val="0"/>
        </w:rPr>
        <w:t>Authoritative MAPS_TO edges (EDUcore v14):</w:t>
      </w:r>
    </w:p>
    <w:p>
      <w:pPr>
        <w:pStyle w:val="ListBullet"/>
      </w:pPr>
      <w:r>
        <w:t>CASE identifier → CLR otherIdentifier, identifierType, type</w:t>
      </w:r>
    </w:p>
    <w:p>
      <w:pPr>
        <w:pStyle w:val="ListBullet"/>
      </w:pPr>
      <w:r>
        <w:t>CASE associationType → CLR associationType, type</w:t>
      </w:r>
    </w:p>
    <w:p>
      <w:pPr>
        <w:pStyle w:val="ListBullet"/>
      </w:pPr>
      <w:r>
        <w:t>CASE uri → CLR association, associationType, type</w:t>
      </w:r>
    </w:p>
    <w:p>
      <w:pPr>
        <w:pStyle w:val="ListBullet"/>
      </w:pPr>
      <w:r>
        <w:t>CASE originNodeURI / destinationNodeURI → CLR association, type</w:t>
      </w:r>
    </w:p>
    <w:p>
      <w:pPr>
        <w:pStyle w:val="ListBullet"/>
      </w:pPr>
      <w:r>
        <w:t>CASE CFAssociationGroupingURI → CLR association, type</w:t>
      </w:r>
    </w:p>
    <w:p>
      <w:pPr>
        <w:pStyle w:val="ListBullet"/>
      </w:pPr>
      <w:r>
        <w:t>CASE identifier / uri → CTDL Identifier, Credential Identifier, Framework URL</w:t>
      </w:r>
    </w:p>
    <w:p>
      <w:pPr>
        <w:pStyle w:val="ListBullet"/>
      </w:pPr>
      <w:r>
        <w:t>CASE associationType → CTDL Alignment Type, Agreement Type</w:t>
      </w:r>
    </w:p>
    <w:p>
      <w:pPr>
        <w:pStyle w:val="ListBullet"/>
      </w:pPr>
      <w:r>
        <w:t>CASE identifier / uri → CEDS Competency Framework Identifier URI, Competency Association Identifier URI</w:t>
      </w:r>
    </w:p>
    <w:p>
      <w:r>
        <w:rPr>
          <w:b w:val="0"/>
          <w:i/>
        </w:rPr>
        <w:t>Because these mappings are spec-annotated (confidence 1.0), a CASE server that also emits CLR is not translating across unrelated data models — it is emitting different views of the same graph. The Awarder role in P1484.2 therefore reduces to: sign a CLR VC whose Achievement and Alignment objects reference CASE URIs the same server already hosts.</w:t>
      </w:r>
    </w:p>
    <w:p>
      <w:pPr>
        <w:pStyle w:val="Heading1"/>
      </w:pPr>
      <w:r>
        <w:t>3. What LIF Provides Today</w:t>
      </w:r>
    </w:p>
    <w:p>
      <w:pPr>
        <w:pStyle w:val="Heading2"/>
      </w:pPr>
      <w:r>
        <w:t>3.1 LIF data model</w:t>
      </w:r>
    </w:p>
    <w:p>
      <w:r>
        <w:rPr>
          <w:b w:val="0"/>
          <w:i w:val="0"/>
        </w:rPr>
        <w:t>LIF 2.0 already defines the entities needed to participate across the standards landscape above. The EDUcore graph confirms LIF entities and property counts:</w:t>
      </w:r>
    </w:p>
    <w:p>
      <w:pPr>
        <w:pStyle w:val="ListBullet"/>
      </w:pPr>
      <w:r>
        <w:t>CompetencyFramework (30 properties) — the host entity for CASE framework references inside a learner record.</w:t>
      </w:r>
    </w:p>
    <w:p>
      <w:pPr>
        <w:pStyle w:val="ListBullet"/>
      </w:pPr>
      <w:r>
        <w:t>Credential (31 properties) — the CLR-compatible achievement container.</w:t>
      </w:r>
    </w:p>
    <w:p>
      <w:pPr>
        <w:pStyle w:val="ListBullet"/>
      </w:pPr>
      <w:r>
        <w:t>Assessment (54), Course (62), Program (54), Position (30) — the context from which competency attainment is inferred.</w:t>
      </w:r>
    </w:p>
    <w:p>
      <w:pPr>
        <w:pStyle w:val="ListBullet"/>
      </w:pPr>
      <w:r>
        <w:t>Person (19), Organization (17) — the Holder and Awarder subjects.</w:t>
      </w:r>
    </w:p>
    <w:p>
      <w:pPr>
        <w:pStyle w:val="ListBullet"/>
      </w:pPr>
      <w:r>
        <w:t>ProficiencyDefinition — currently a stub; a target for extension to align with CASE CFRubric and CFItemType.</w:t>
      </w:r>
    </w:p>
    <w:p>
      <w:r>
        <w:rPr>
          <w:b w:val="0"/>
          <w:i w:val="0"/>
        </w:rPr>
        <w:t>In EdMatrix terms, LIF spans Personal, Achievement, Credential, and Competency categories across Data Dictionary, Logical Model, and Serialization layers, serialized as OpenAPI and JSON — exactly the coverage a federated node needs.</w:t>
      </w:r>
    </w:p>
    <w:p>
      <w:pPr>
        <w:pStyle w:val="Heading2"/>
      </w:pPr>
      <w:r>
        <w:t>3.2 LIF services</w:t>
      </w:r>
    </w:p>
    <w:p>
      <w:pPr>
        <w:pStyle w:val="ListBullet"/>
      </w:pPr>
      <w:r>
        <w:t>GraphQL API (api_graphql) — authenticated query surface over learner data, with API-key auth via X-API-Key.</w:t>
      </w:r>
    </w:p>
    <w:p>
      <w:pPr>
        <w:pStyle w:val="ListBullet"/>
      </w:pPr>
      <w:r>
        <w:t>Advisor API (advisor_restapi) — LangChain/LangGraph agent grounded in the LIF record.</w:t>
      </w:r>
    </w:p>
    <w:p>
      <w:pPr>
        <w:pStyle w:val="ListBullet"/>
      </w:pPr>
      <w:r>
        <w:t>Translator (translator_restapi) — source-system normalization into LIF schema.</w:t>
      </w:r>
    </w:p>
    <w:p>
      <w:pPr>
        <w:pStyle w:val="ListBullet"/>
      </w:pPr>
      <w:r>
        <w:t>MDR (mdr_restapi) — metadata registry that hosts the OpenAPI data model and serves schemas with inlined references.</w:t>
      </w:r>
    </w:p>
    <w:p>
      <w:pPr>
        <w:pStyle w:val="ListBullet"/>
      </w:pPr>
      <w:r>
        <w:t>Query Planner and Query Cache — multi-source query routing and caching.</w:t>
      </w:r>
    </w:p>
    <w:p>
      <w:pPr>
        <w:pStyle w:val="ListBullet"/>
      </w:pPr>
      <w:r>
        <w:t>Semantic Search MCP Server — Sentence-Transformers embeddings over schema leaves, exposed via Model Context Protocol.</w:t>
      </w:r>
    </w:p>
    <w:p>
      <w:pPr>
        <w:pStyle w:val="Heading2"/>
      </w:pPr>
      <w:r>
        <w:t>3.3 Shared components</w:t>
      </w:r>
    </w:p>
    <w:p>
      <w:pPr>
        <w:pStyle w:val="ListBullet"/>
      </w:pPr>
      <w:r>
        <w:t>graphql_client, mdr_client — authenticated service-to-service HTTP clients.</w:t>
      </w:r>
    </w:p>
    <w:p>
      <w:pPr>
        <w:pStyle w:val="ListBullet"/>
      </w:pPr>
      <w:r>
        <w:t>schema_state_manager — MDR-first schema loading with explicit failure on MDR unavailability (no silent file fallback).</w:t>
      </w:r>
    </w:p>
    <w:p>
      <w:pPr>
        <w:pStyle w:val="ListBullet"/>
      </w:pPr>
      <w:r>
        <w:t>lif_schema_config — centralized schema configuration.</w:t>
      </w:r>
    </w:p>
    <w:p>
      <w:pPr>
        <w:pStyle w:val="ListBullet"/>
      </w:pPr>
      <w:r>
        <w:t>data_source_adapters — GraphQL fragment adapters honoring PascalCase entity / camelCase attribute conventions.</w:t>
      </w:r>
    </w:p>
    <w:p>
      <w:pPr>
        <w:pStyle w:val="Heading1"/>
      </w:pPr>
      <w:r>
        <w:t>4. Mapping LIF to the IEEE P1484.2 LER Ecosystem Roles</w:t>
      </w:r>
    </w:p>
    <w:p>
      <w:r>
        <w:rPr>
          <w:b w:val="0"/>
          <w:i w:val="0"/>
        </w:rPr>
        <w:t>The four P1484.2 roles map onto LIF services with minimal structural change. This is the central technical claim of the memo.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LER Ecosystem Role</w:t>
            </w:r>
          </w:p>
        </w:tc>
        <w:tc>
          <w:tcPr>
            <w:tcW w:type="dxa" w:w="2880"/>
          </w:tcPr>
          <w:p>
            <w:r>
              <w:t>LIF Service(s)</w:t>
            </w:r>
          </w:p>
        </w:tc>
        <w:tc>
          <w:tcPr>
            <w:tcW w:type="dxa" w:w="2880"/>
          </w:tcPr>
          <w:p>
            <w:r>
              <w:t>Primary Responsibility</w:t>
            </w:r>
          </w:p>
        </w:tc>
      </w:tr>
      <w:tr>
        <w:tc>
          <w:tcPr>
            <w:tcW w:type="dxa" w:w="2880"/>
          </w:tcPr>
          <w:p>
            <w:r>
              <w:t>Awarder</w:t>
            </w:r>
          </w:p>
        </w:tc>
        <w:tc>
          <w:tcPr>
            <w:tcW w:type="dxa" w:w="2880"/>
          </w:tcPr>
          <w:p>
            <w:r>
              <w:t>Translator + MDR</w:t>
            </w:r>
          </w:p>
        </w:tc>
        <w:tc>
          <w:tcPr>
            <w:tcW w:type="dxa" w:w="2880"/>
          </w:tcPr>
          <w:p>
            <w:r>
              <w:t>Aggregate source-system evidence (SIS/LMS/HR) into LIF; align to CASE CFItem URIs resolved from MDR; sign and emit CLR VCs.</w:t>
            </w:r>
          </w:p>
        </w:tc>
      </w:tr>
      <w:tr>
        <w:tc>
          <w:tcPr>
            <w:tcW w:type="dxa" w:w="2880"/>
          </w:tcPr>
          <w:p>
            <w:r>
              <w:t>Holder</w:t>
            </w:r>
          </w:p>
        </w:tc>
        <w:tc>
          <w:tcPr>
            <w:tcW w:type="dxa" w:w="2880"/>
          </w:tcPr>
          <w:p>
            <w:r>
              <w:t>GraphQL API + Advisor API</w:t>
            </w:r>
          </w:p>
        </w:tc>
        <w:tc>
          <w:tcPr>
            <w:tcW w:type="dxa" w:w="2880"/>
          </w:tcPr>
          <w:p>
            <w:r>
              <w:t>Present the learner's signed record; allow the learner or their delegate to disclose credentials selectively.</w:t>
            </w:r>
          </w:p>
        </w:tc>
      </w:tr>
      <w:tr>
        <w:tc>
          <w:tcPr>
            <w:tcW w:type="dxa" w:w="2880"/>
          </w:tcPr>
          <w:p>
            <w:r>
              <w:t>Reviewer</w:t>
            </w:r>
          </w:p>
        </w:tc>
        <w:tc>
          <w:tcPr>
            <w:tcW w:type="dxa" w:w="2880"/>
          </w:tcPr>
          <w:p>
            <w:r>
              <w:t>GraphQL API + Semantic Search + Advisor</w:t>
            </w:r>
          </w:p>
        </w:tc>
        <w:tc>
          <w:tcPr>
            <w:tcW w:type="dxa" w:w="2880"/>
          </w:tcPr>
          <w:p>
            <w:r>
              <w:t>Accept inbound LERs, verify signatures, resolve CASE alignments through MDR and federated registries, and surface equivalence decisions.</w:t>
            </w:r>
          </w:p>
        </w:tc>
      </w:tr>
      <w:tr>
        <w:tc>
          <w:tcPr>
            <w:tcW w:type="dxa" w:w="2880"/>
          </w:tcPr>
          <w:p>
            <w:r>
              <w:t>Registry</w:t>
            </w:r>
          </w:p>
        </w:tc>
        <w:tc>
          <w:tcPr>
            <w:tcW w:type="dxa" w:w="2880"/>
          </w:tcPr>
          <w:p>
            <w:r>
              <w:t>MDR + Query Planner/Cache</w:t>
            </w:r>
          </w:p>
        </w:tc>
        <w:tc>
          <w:tcPr>
            <w:tcW w:type="dxa" w:w="2880"/>
          </w:tcPr>
          <w:p>
            <w:r>
              <w:t>Host CASE frameworks locally; resolve remote framework URIs through CGE federation; cache signed snapshots with provenance metadata.</w:t>
            </w:r>
          </w:p>
        </w:tc>
      </w:tr>
    </w:tbl>
    <w:p/>
    <w:p>
      <w:pPr>
        <w:pStyle w:val="Heading1"/>
      </w:pPr>
      <w:r>
        <w:t>5. CGE and LER Requirements Mapped to LIF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CGE / LER Requirement</w:t>
            </w:r>
          </w:p>
        </w:tc>
        <w:tc>
          <w:tcPr>
            <w:tcW w:type="dxa" w:w="2880"/>
          </w:tcPr>
          <w:p>
            <w:r>
              <w:t>LIF Capability Today</w:t>
            </w:r>
          </w:p>
        </w:tc>
        <w:tc>
          <w:tcPr>
            <w:tcW w:type="dxa" w:w="2880"/>
          </w:tcPr>
          <w:p>
            <w:r>
              <w:t>Extension Needed</w:t>
            </w:r>
          </w:p>
        </w:tc>
      </w:tr>
      <w:tr>
        <w:tc>
          <w:tcPr>
            <w:tcW w:type="dxa" w:w="2880"/>
          </w:tcPr>
          <w:p>
            <w:r>
              <w:t>Host and govern CASE frameworks locally (Registry role)</w:t>
            </w:r>
          </w:p>
        </w:tc>
        <w:tc>
          <w:tcPr>
            <w:tcW w:type="dxa" w:w="2880"/>
          </w:tcPr>
          <w:p>
            <w:r>
              <w:t>MDR hosts versioned OpenAPI data models with inlined references and API-key auth.</w:t>
            </w:r>
          </w:p>
        </w:tc>
        <w:tc>
          <w:tcPr>
            <w:tcW w:type="dxa" w:w="2880"/>
          </w:tcPr>
          <w:p>
            <w:r>
              <w:t>Add CFDocument, CFItem, CFAssociation, CFPackage entities and CASE-conformant REST endpoints on the MDR base.</w:t>
            </w:r>
          </w:p>
        </w:tc>
      </w:tr>
      <w:tr>
        <w:tc>
          <w:tcPr>
            <w:tcW w:type="dxa" w:w="2880"/>
          </w:tcPr>
          <w:p>
            <w:r>
              <w:t>Align achievements to CASE CFItem URIs</w:t>
            </w:r>
          </w:p>
        </w:tc>
        <w:tc>
          <w:tcPr>
            <w:tcW w:type="dxa" w:w="2880"/>
          </w:tcPr>
          <w:p>
            <w:r>
              <w:t>Translator normalizes SIS/LMS/HR into LIF; LIF already has CompetencyFramework and Credential entities.</w:t>
            </w:r>
          </w:p>
        </w:tc>
        <w:tc>
          <w:tcPr>
            <w:tcW w:type="dxa" w:w="2880"/>
          </w:tcPr>
          <w:p>
            <w:r>
              <w:t>Add Alignment sub-records on Credential referencing CASE URIs; resolve through MDR cache.</w:t>
            </w:r>
          </w:p>
        </w:tc>
      </w:tr>
      <w:tr>
        <w:tc>
          <w:tcPr>
            <w:tcW w:type="dxa" w:w="2880"/>
          </w:tcPr>
          <w:p>
            <w:r>
              <w:t>Issue CLR VerifiableCredentials (Awarder role)</w:t>
            </w:r>
          </w:p>
        </w:tc>
        <w:tc>
          <w:tcPr>
            <w:tcW w:type="dxa" w:w="2880"/>
          </w:tcPr>
          <w:p>
            <w:r>
              <w:t>Translator is the normalization seam where emission belongs.</w:t>
            </w:r>
          </w:p>
        </w:tc>
        <w:tc>
          <w:tcPr>
            <w:tcW w:type="dxa" w:w="2880"/>
          </w:tcPr>
          <w:p>
            <w:r>
              <w:t>Add a CLR emission module: build Achievement + Alignment + Evidence + Proof, sign with Awarder keys, return as W3C VC.</w:t>
            </w:r>
          </w:p>
        </w:tc>
      </w:tr>
      <w:tr>
        <w:tc>
          <w:tcPr>
            <w:tcW w:type="dxa" w:w="2880"/>
          </w:tcPr>
          <w:p>
            <w:r>
              <w:t>Skills and equivalence matching (Reviewer role)</w:t>
            </w:r>
          </w:p>
        </w:tc>
        <w:tc>
          <w:tcPr>
            <w:tcW w:type="dxa" w:w="2880"/>
          </w:tcPr>
          <w:p>
            <w:r>
              <w:t>Semantic Search MCP indexes LIF schema leaves.</w:t>
            </w:r>
          </w:p>
        </w:tc>
        <w:tc>
          <w:tcPr>
            <w:tcW w:type="dxa" w:w="2880"/>
          </w:tcPr>
          <w:p>
            <w:r>
              <w:t>Extend embeddings to CASE CFItem statements and CLR Achievement descriptions; expose similarity-based alignments.</w:t>
            </w:r>
          </w:p>
        </w:tc>
      </w:tr>
      <w:tr>
        <w:tc>
          <w:tcPr>
            <w:tcW w:type="dxa" w:w="2880"/>
          </w:tcPr>
          <w:p>
            <w:r>
              <w:t>Federated discovery across CGE</w:t>
            </w:r>
          </w:p>
        </w:tc>
        <w:tc>
          <w:tcPr>
            <w:tcW w:type="dxa" w:w="2880"/>
          </w:tcPr>
          <w:p>
            <w:r>
              <w:t>Query Planner routes multi-source queries; Query Cache provides caching.</w:t>
            </w:r>
          </w:p>
        </w:tc>
        <w:tc>
          <w:tcPr>
            <w:tcW w:type="dxa" w:w="2880"/>
          </w:tcPr>
          <w:p>
            <w:r>
              <w:t>Add federation client: resolve remote CASE URIs, cache signed framework snapshots, verify provenance before trust.</w:t>
            </w:r>
          </w:p>
        </w:tc>
      </w:tr>
      <w:tr>
        <w:tc>
          <w:tcPr>
            <w:tcW w:type="dxa" w:w="2880"/>
          </w:tcPr>
          <w:p>
            <w:r>
              <w:t>Consent and provenance</w:t>
            </w:r>
          </w:p>
        </w:tc>
        <w:tc>
          <w:tcPr>
            <w:tcW w:type="dxa" w:w="2880"/>
          </w:tcPr>
          <w:p>
            <w:r>
              <w:t>Schema-first design, authenticated APIs, centralized LIFSchemaConfig.</w:t>
            </w:r>
          </w:p>
        </w:tc>
        <w:tc>
          <w:tcPr>
            <w:tcW w:type="dxa" w:w="2880"/>
          </w:tcPr>
          <w:p>
            <w:r>
              <w:t>Model consent as first-class data on Person; include consent scope and provenance metadata in emitted VCs.</w:t>
            </w:r>
          </w:p>
        </w:tc>
      </w:tr>
      <w:tr>
        <w:tc>
          <w:tcPr>
            <w:tcW w:type="dxa" w:w="2880"/>
          </w:tcPr>
          <w:p>
            <w:r>
              <w:t>AI-assisted advising grounded in public standards</w:t>
            </w:r>
          </w:p>
        </w:tc>
        <w:tc>
          <w:tcPr>
            <w:tcW w:type="dxa" w:w="2880"/>
          </w:tcPr>
          <w:p>
            <w:r>
              <w:t>Advisor API (LangChain/LangGraph) and Semantic Search MCP.</w:t>
            </w:r>
          </w:p>
        </w:tc>
        <w:tc>
          <w:tcPr>
            <w:tcW w:type="dxa" w:w="2880"/>
          </w:tcPr>
          <w:p>
            <w:r>
              <w:t>Ground prompts in CASE URIs and CLR assertions so AI outputs cite publicly governed competencies, not proprietary taxonomies.</w:t>
            </w:r>
          </w:p>
        </w:tc>
      </w:tr>
    </w:tbl>
    <w:p/>
    <w:p>
      <w:pPr>
        <w:pStyle w:val="Heading1"/>
      </w:pPr>
      <w:r>
        <w:t>6. Proposed Architecture: LIF as a CGE Node + LER Issuer</w:t>
      </w:r>
    </w:p>
    <w:p>
      <w:pPr>
        <w:pStyle w:val="Heading2"/>
      </w:pPr>
      <w:r>
        <w:t>6.1 MDR as the CASE-aligned Registry</w:t>
      </w:r>
    </w:p>
    <w:p>
      <w:r>
        <w:rPr>
          <w:b w:val="0"/>
          <w:i w:val="0"/>
        </w:rPr>
        <w:t>MDR already behaves as a registry for versioned schemas with API-key auth and fully inlined $ref resolution. The extension path is to register CASE classes (CFDocument, CFItem, CFAssociation, CFPackage, CFConcept, CFSubject, CFItemType, CFRubric, CFLicense) as first-class entities, and publish CASE REST endpoints from the MDR base. MDR then behaves as both the local CASE server and the P1484.2 Registry. Federation calls reach into the CGE network; provenance is verified on cache admission.</w:t>
      </w:r>
    </w:p>
    <w:p>
      <w:pPr>
        <w:pStyle w:val="Heading2"/>
      </w:pPr>
      <w:r>
        <w:t>6.2 Translator as the CLR / LER emitter (Awarder)</w:t>
      </w:r>
    </w:p>
    <w:p>
      <w:r>
        <w:rPr>
          <w:b w:val="0"/>
          <w:i w:val="0"/>
        </w:rPr>
        <w:t>The Translator service is where normalization already happens, which makes it the right place for achievement-to-competency alignment and CLR VC emission. During ingestion, Translator:</w:t>
      </w:r>
    </w:p>
    <w:p>
      <w:pPr>
        <w:pStyle w:val="ListBullet"/>
      </w:pPr>
      <w:r>
        <w:t>Resolves course, assessment, and credential identifiers against CASE CFItems in MDR, producing Alignment metadata (target CFItem URI, CFAssociation type, confidence).</w:t>
      </w:r>
    </w:p>
    <w:p>
      <w:pPr>
        <w:pStyle w:val="ListBullet"/>
      </w:pPr>
      <w:r>
        <w:t>Constructs CLR Achievement, Alignment, Criteria, and Evidence objects.</w:t>
      </w:r>
    </w:p>
    <w:p>
      <w:pPr>
        <w:pStyle w:val="ListBullet"/>
      </w:pPr>
      <w:r>
        <w:t>Assembles them into a ClrCredential (a VerifiableCredential), signs with the Awarder's key, and returns the payload.</w:t>
      </w:r>
    </w:p>
    <w:p>
      <w:pPr>
        <w:pStyle w:val="ListBullet"/>
      </w:pPr>
      <w:r>
        <w:t>Respects Person consent scopes and stamps provenance metadata (Awarder identity, timestamp, key reference).</w:t>
      </w:r>
    </w:p>
    <w:p>
      <w:pPr>
        <w:pStyle w:val="Heading2"/>
      </w:pPr>
      <w:r>
        <w:t>6.3 GraphQL + Semantic Search as the Reviewer surface</w:t>
      </w:r>
    </w:p>
    <w:p>
      <w:r>
        <w:rPr>
          <w:b w:val="0"/>
          <w:i w:val="0"/>
        </w:rPr>
        <w:t>Inbound LERs are parsed and verified through a new Reviewer endpoint; CASE alignments are resolved locally where possible and via federation otherwise. The GraphQL API answers structured queries ("does this learner hold CFItem X?"); Semantic Search answers fuzzy ones ("which learners demonstrate skills similar to this job posting?"). The CLR Achievement and CASE CFItem are joined by URI, not by free text.</w:t>
      </w:r>
    </w:p>
    <w:p>
      <w:pPr>
        <w:pStyle w:val="Heading2"/>
      </w:pPr>
      <w:r>
        <w:t>6.4 Advisor API as the grounded AI layer</w:t>
      </w:r>
    </w:p>
    <w:p>
      <w:r>
        <w:rPr>
          <w:b w:val="0"/>
          <w:i w:val="0"/>
        </w:rPr>
        <w:t>The Advisor grounds its responses in CASE URIs and CLR VerifiableCredentials rather than generating free-form skills descriptions. Every recommendation cites a framework URI and, where available, a signed assertion. This directly answers the CGE concern that proprietary skills taxonomies will capture the narrative: when the AI cites public frameworks, the public infrastructure stays in the loop.</w:t>
      </w:r>
    </w:p>
    <w:p>
      <w:pPr>
        <w:pStyle w:val="Heading2"/>
      </w:pPr>
      <w:r>
        <w:t>6.5 Federation-aware query routing</w:t>
      </w:r>
    </w:p>
    <w:p>
      <w:r>
        <w:rPr>
          <w:b w:val="0"/>
          <w:i w:val="0"/>
        </w:rPr>
        <w:t>The Query Planner extends naturally to CGE federation. Remote framework URIs are resolved through a federation client; responses are cached in Query Cache with signed provenance; routing policies prefer local governance over remote lookups, but degrade gracefully to the federation when a URI is out-of-jurisdiction. This preserves verifiability even under partial network availability.</w:t>
      </w:r>
    </w:p>
    <w:p>
      <w:pPr>
        <w:pStyle w:val="Heading1"/>
      </w:pPr>
      <w:r>
        <w:t>7. Strategic Use Cases</w:t>
      </w:r>
    </w:p>
    <w:p>
      <w:pPr>
        <w:pStyle w:val="Heading2"/>
      </w:pPr>
      <w:r>
        <w:t>7.1 State-level LER issuance grounded in CASE frameworks</w:t>
      </w:r>
    </w:p>
    <w:p>
      <w:r>
        <w:rPr>
          <w:b w:val="0"/>
          <w:i w:val="0"/>
        </w:rPr>
        <w:t>A state education agency hosts its competency frameworks in LIF's MDR as CFPackages. As district SIS and LMS data flow in, the Translator aligns achievements to CFItem URIs and issues signed CLR VCs per graduating student. Students receive a full LER portable across higher-ed admissions, employer ATS systems, and other states' LIF nodes via the CGE federation. Because CASE → CLR fields are directly mapped, the state's framework investment becomes the backbone of its LER program at the same time.</w:t>
      </w:r>
    </w:p>
    <w:p>
      <w:pPr>
        <w:pStyle w:val="Heading2"/>
      </w:pPr>
      <w:r>
        <w:t>7.2 Higher-ed credit transfer and PLA</w:t>
      </w:r>
    </w:p>
    <w:p>
      <w:r>
        <w:rPr>
          <w:b w:val="0"/>
          <w:i w:val="0"/>
        </w:rPr>
        <w:t>When a transfer applicant presents an LER, the receiving institution's LIF node verifies the VC, resolves the CFItem URIs through CGE, compares them to its own framework alignments, and surfaces equivalence recommendations. Semantic Search fills in fuzzy matches where exact URI resolution fails. The Advisor explains each recommendation with citations to the underlying CFItems and CLR Achievements.</w:t>
      </w:r>
    </w:p>
    <w:p>
      <w:pPr>
        <w:pStyle w:val="Heading2"/>
      </w:pPr>
      <w:r>
        <w:t>7.3 Skills-based hiring without proprietary lock-in</w:t>
      </w:r>
    </w:p>
    <w:p>
      <w:r>
        <w:rPr>
          <w:b w:val="0"/>
          <w:i w:val="0"/>
        </w:rPr>
        <w:t>Employers integrate with a LIF node to parse inbound LERs and compare them to job-posting competency sets expressed as CASE CFItem references. Because every alignment references publicly governed CASE URIs, the employer is not locked into a vendor's private taxonomy, and the learner retains portability across employers. LIF's Position entity (30 properties) is the natural home for this job-posting-to-CFItem link.</w:t>
      </w:r>
    </w:p>
    <w:p>
      <w:pPr>
        <w:pStyle w:val="Heading2"/>
      </w:pPr>
      <w:r>
        <w:t>7.4 AI-enabled career mobility grounded in public standards</w:t>
      </w:r>
    </w:p>
    <w:p>
      <w:r>
        <w:rPr>
          <w:b w:val="0"/>
          <w:i w:val="0"/>
        </w:rPr>
        <w:t>The Advisor API uses CASE-anchored CLR assertions to explain pathways between current skills and target roles, recommending competencies to pursue and verifiable credentials that would close the gap. Every recommendation is traceable to a CFItem URI — essential for equity and trust in AI-assisted career guidance, and a direct rebuttal to proprietary skills-taxonomy lock-in.</w:t>
      </w:r>
    </w:p>
    <w:p>
      <w:pPr>
        <w:pStyle w:val="Heading1"/>
      </w:pPr>
      <w:r>
        <w:t>8. Roadmap Aligned with the CGE Five-Year Arc</w:t>
      </w:r>
    </w:p>
    <w:p>
      <w:pPr>
        <w:pStyle w:val="Heading2"/>
      </w:pPr>
      <w:r>
        <w:t>Years 1–2: Build the node</w:t>
      </w:r>
    </w:p>
    <w:p>
      <w:pPr>
        <w:pStyle w:val="ListBullet"/>
      </w:pPr>
      <w:r>
        <w:t>Register CASE classes (CFDocument, CFItem, CFAssociation, CFPackage) in MDR; publish CASE REST endpoints from the MDR base.</w:t>
      </w:r>
    </w:p>
    <w:p>
      <w:pPr>
        <w:pStyle w:val="ListBullet"/>
      </w:pPr>
      <w:r>
        <w:t>Extend Translator to produce CLR Achievement + Alignment + Evidence and emit signed ClrCredential VCs per W3C VC 2.0.</w:t>
      </w:r>
    </w:p>
    <w:p>
      <w:pPr>
        <w:pStyle w:val="ListBullet"/>
      </w:pPr>
      <w:r>
        <w:t>Implement a Reviewer endpoint that verifies inbound VCs and resolves CFItem URIs via MDR.</w:t>
      </w:r>
    </w:p>
    <w:p>
      <w:pPr>
        <w:pStyle w:val="ListBullet"/>
      </w:pPr>
      <w:r>
        <w:t>Prototype federation: resolve remote CASE URIs through a CGE client, cache signed snapshots in Query Cache.</w:t>
      </w:r>
    </w:p>
    <w:p>
      <w:pPr>
        <w:pStyle w:val="ListBullet"/>
      </w:pPr>
      <w:r>
        <w:t>Pilot with one state agency and one higher-ed partner already running LIF.</w:t>
      </w:r>
    </w:p>
    <w:p>
      <w:pPr>
        <w:pStyle w:val="Heading2"/>
      </w:pPr>
      <w:r>
        <w:t>Year 3: Harden and stabilize</w:t>
      </w:r>
    </w:p>
    <w:p>
      <w:pPr>
        <w:pStyle w:val="ListBullet"/>
      </w:pPr>
      <w:r>
        <w:t>Formalize Awarder signing keys, consent scopes, and audit logging across LIF services.</w:t>
      </w:r>
    </w:p>
    <w:p>
      <w:pPr>
        <w:pStyle w:val="ListBullet"/>
      </w:pPr>
      <w:r>
        <w:t>Index CASE CFItem statements and CLR Achievement descriptions in Semantic Search for scaled equivalence matching.</w:t>
      </w:r>
    </w:p>
    <w:p>
      <w:pPr>
        <w:pStyle w:val="ListBullet"/>
      </w:pPr>
      <w:r>
        <w:t>Ground Advisor responses in CASE URIs and CLR assertions with regression tests for citation fidelity.</w:t>
      </w:r>
    </w:p>
    <w:p>
      <w:pPr>
        <w:pStyle w:val="ListBullet"/>
      </w:pPr>
      <w:r>
        <w:t>Publish reference deployment templates (CloudFormation, Docker Compose) for LIF-as-CGE-node.</w:t>
      </w:r>
    </w:p>
    <w:p>
      <w:pPr>
        <w:pStyle w:val="Heading2"/>
      </w:pPr>
      <w:r>
        <w:t>Years 4–5: Scale and sustain</w:t>
      </w:r>
    </w:p>
    <w:p>
      <w:pPr>
        <w:pStyle w:val="ListBullet"/>
      </w:pPr>
      <w:r>
        <w:t>Certify LIF deployments under CGE governance as compliant federation nodes and P1484.2 Awarder/Reviewer/Registry implementations.</w:t>
      </w:r>
    </w:p>
    <w:p>
      <w:pPr>
        <w:pStyle w:val="ListBullet"/>
      </w:pPr>
      <w:r>
        <w:t>Offer managed hosting and alignment services as diversified revenue alongside grant funding.</w:t>
      </w:r>
    </w:p>
    <w:p>
      <w:pPr>
        <w:pStyle w:val="ListBullet"/>
      </w:pPr>
      <w:r>
        <w:t>Contribute improvements to CASE, CLR, IEEE P1484.2, and 1484.20.2 based on production learnings.</w:t>
      </w:r>
    </w:p>
    <w:p>
      <w:pPr>
        <w:pStyle w:val="ListBullet"/>
      </w:pPr>
      <w:r>
        <w:t>Position LIF as a first-class open-source reference implementation within the CGE certification program.</w:t>
      </w:r>
    </w:p>
    <w:p>
      <w:pPr>
        <w:pStyle w:val="Heading1"/>
      </w:pPr>
      <w:r>
        <w:t>9. 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CGE governance and certification are still maturing.</w:t>
            </w:r>
          </w:p>
        </w:tc>
        <w:tc>
          <w:tcPr>
            <w:tcW w:type="dxa" w:w="4320"/>
          </w:tcPr>
          <w:p>
            <w:r>
              <w:t>Ship CASE and CLR support behind feature flags; track the CGE reference profile and regression-test against it as it evolves.</w:t>
            </w:r>
          </w:p>
        </w:tc>
      </w:tr>
      <w:tr>
        <w:tc>
          <w:tcPr>
            <w:tcW w:type="dxa" w:w="4320"/>
          </w:tcPr>
          <w:p>
            <w:r>
              <w:t>IEEE P1484.2 role semantics may evolve before approval.</w:t>
            </w:r>
          </w:p>
        </w:tc>
        <w:tc>
          <w:tcPr>
            <w:tcW w:type="dxa" w:w="4320"/>
          </w:tcPr>
          <w:p>
            <w:r>
              <w:t>Keep the VC signing path in a single Translator-side serializer so spec changes are localized; the inner Achievement + Alignment payload stays stable across envelope revisions.</w:t>
            </w:r>
          </w:p>
        </w:tc>
      </w:tr>
      <w:tr>
        <w:tc>
          <w:tcPr>
            <w:tcW w:type="dxa" w:w="4320"/>
          </w:tcPr>
          <w:p>
            <w:r>
              <w:t>Proprietary skills taxonomies pressure adopters to integrate privately.</w:t>
            </w:r>
          </w:p>
        </w:tc>
        <w:tc>
          <w:tcPr>
            <w:tcW w:type="dxa" w:w="4320"/>
          </w:tcPr>
          <w:p>
            <w:r>
              <w:t>Lean into public CASE anchoring as a differentiator: portability, auditability, and public governance are features private taxonomies cannot match without giving up their business model.</w:t>
            </w:r>
          </w:p>
        </w:tc>
      </w:tr>
      <w:tr>
        <w:tc>
          <w:tcPr>
            <w:tcW w:type="dxa" w:w="4320"/>
          </w:tcPr>
          <w:p>
            <w:r>
              <w:t>CASE framework drift between MDR and CGE federated registries.</w:t>
            </w:r>
          </w:p>
        </w:tc>
        <w:tc>
          <w:tcPr>
            <w:tcW w:type="dxa" w:w="4320"/>
          </w:tcPr>
          <w:p>
            <w:r>
              <w:t>Reuse the MDR-first schema loading pattern (explicit failure on staleness, no silent fallback); verify provenance signatures before trusting cached framework snapshots.</w:t>
            </w:r>
          </w:p>
        </w:tc>
      </w:tr>
      <w:tr>
        <w:tc>
          <w:tcPr>
            <w:tcW w:type="dxa" w:w="4320"/>
          </w:tcPr>
          <w:p>
            <w:r>
              <w:t>Consent and privacy complexity increases with VC issuance.</w:t>
            </w:r>
          </w:p>
        </w:tc>
        <w:tc>
          <w:tcPr>
            <w:tcW w:type="dxa" w:w="4320"/>
          </w:tcPr>
          <w:p>
            <w:r>
              <w:t>Extend LIFSchemaConfig with consent-scope configuration; model consent as a first-class Person attribute; emit consent as metadata inside the VC proof.</w:t>
            </w:r>
          </w:p>
        </w:tc>
      </w:tr>
      <w:tr>
        <w:tc>
          <w:tcPr>
            <w:tcW w:type="dxa" w:w="4320"/>
          </w:tcPr>
          <w:p>
            <w:r>
              <w:t>Confusion between IEEE P1484.2 (LER Ecosystem) and IEEE 1484.20.2 (competency data dictionary).</w:t>
            </w:r>
          </w:p>
        </w:tc>
        <w:tc>
          <w:tcPr>
            <w:tcW w:type="dxa" w:w="4320"/>
          </w:tcPr>
          <w:p>
            <w:r>
              <w:t>Keep them separate in implementation and documentation. P1484.2 defines roles and protocol; 1484.20.2 is a competency-data standard that complements CASE. LIF aligns with both but through different layers.</w:t>
            </w:r>
          </w:p>
        </w:tc>
      </w:tr>
    </w:tbl>
    <w:p/>
    <w:p>
      <w:pPr>
        <w:pStyle w:val="Heading1"/>
      </w:pPr>
      <w:r>
        <w:t>10. Conclusion</w:t>
      </w:r>
    </w:p>
    <w:p>
      <w:r>
        <w:rPr>
          <w:b w:val="0"/>
          <w:i w:val="0"/>
        </w:rPr>
        <w:t>The CGE vision and the IEEE P1484.2 LER Ecosystem converge on a single architectural pattern: a federated, publicly governed network of CASE servers that also serve as CLR issuers and verifiers, connected through W3C Verifiable Credentials and anchored by trusted registries. The authoritative CASE ↔ CLR crosswalks already present in the EDUcore knowledge graph confirm that this is a schema-level fact, not an aspiration.</w:t>
      </w:r>
    </w:p>
    <w:p>
      <w:r>
        <w:rPr>
          <w:b w:val="0"/>
          <w:i w:val="0"/>
        </w:rPr>
        <w:t>LIF is well-positioned to be the reference open-source node in this network. Its entities (CompetencyFramework, Credential, Person, Assessment, Course, Position, Program) already span the four EdMatrix categories a CGE + LER node must cover. Its services (MDR, Translator, GraphQL, Advisor, Semantic Search, Query Planner) map cleanly onto the P1484.2 Awarder, Holder, Reviewer, and Registry roles. The remaining work is focused and achievable: CASE classes and endpoints in MDR; CLR VerifiableCredential emission in Translator; federation-aware discovery across Query Planner; and CASE / CLR grounding in Advisor and Semantic Search.</w:t>
      </w:r>
    </w:p>
    <w:p>
      <w:r>
        <w:rPr>
          <w:b w:val="0"/>
          <w:i w:val="0"/>
        </w:rPr>
        <w:t>Investing in LIF as a CGE node and LER issuer accomplishes three goals simultaneously: it gives CGE a credible open implementation path; it gives states and institutions a production-ready on-ramp; and it gives learners verifiable, portable records grounded in publicly governed standards rather than proprietary taxonomies. This is precisely the catalytic investment the CGE five-year transition arc is designed to enable.</w:t>
      </w:r>
    </w:p>
    <w:p/>
    <w:p>
      <w:pPr>
        <w:jc w:val="center"/>
      </w:pPr>
      <w:r>
        <w:rPr>
          <w:i/>
          <w:color w:val="555555"/>
          <w:sz w:val="18"/>
        </w:rPr>
        <w:t>Prepared for internal and partner review. Standard descriptions and cross-standard mappings grounded in the EDUcore Education Standards Knowledge Graph (CEDS v14, SIF, Ed-Fi, PESC, CTDL, SEDM, JEDx, CIP, CASE 1.1, CLR 2.0, LIF 2.0). Not for external distribution without permission.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