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23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valor de </w:t>
      </w:r>
      <m:oMath>
        <m:func>
          <m:func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limLow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"/>
                  </m:rPr>
                  <m:t>lim</m:t>
                </m:r>
              </m:e>
              <m:lim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x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→0</m:t>
                </m:r>
              </m:lim>
            </m:limLow>
          </m:fName>
          <m:e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 w:hint="default"/>
                    <w:b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 w:eastAsia="Cambria Math" w:hint="default"/>
                        <w:b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sSupPr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2</m:t>
                    </m:r>
                  </m:e>
                  <m:sup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x-1</m:t>
                    </m:r>
                  </m:sup>
                </m:sSup>
              </m:e>
            </m:d>
          </m:e>
        </m:func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den>
        </m:f>
      </m:oMath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4</m:t>
            </m:r>
          </m:den>
        </m:f>
      </m:oMath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16</w:t>
      </w:r>
      <w:r>
        <w:rPr>
          <w:sz w:val="24"/>
          <w:highlight w:val="none"/>
        </w:rPr>
      </w:r>
    </w:p>
    <w:p>
      <w:pPr>
        <w:pStyle w:val="60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8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2022-03-30T02:44:06Z</dcterms:modified>
</cp:coreProperties>
</file>