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¿Qué tipo de lenguaje se usa en el siguiente enunciado?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“</w:t>
      </w:r>
      <w:r>
        <w:rPr>
          <w:i/>
          <w:sz w:val="24"/>
          <w:highlight w:val="none"/>
        </w:rPr>
        <w:t xml:space="preserve">Todas las casas son ojos que resplandecen y acechan</w:t>
      </w:r>
      <w:r>
        <w:rPr>
          <w:sz w:val="24"/>
          <w:highlight w:val="none"/>
        </w:rPr>
        <w:t xml:space="preserve">”.</w:t>
      </w:r>
      <w:r>
        <w:rPr>
          <w:sz w:val="24"/>
          <w:highlight w:val="none"/>
        </w:rPr>
      </w:r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Técnico</w:t>
      </w:r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Coloquial</w:t>
      </w:r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Culto</w:t>
      </w:r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Figurado &lt;— correcta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2022-04-01T15:33:20Z</dcterms:modified>
</cp:coreProperties>
</file>