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¿En cuál de las siguientes opciones predomina el discurso narrativo?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1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Juan obedeció y enseguida se presentó Casilda, más muerta que viva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1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hacemos Casilda?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1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Huir Juan, huir de aquí, si no, somos perdidos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1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Don Espiridión, gordo, de estatura mediana, de pelo negro, grueso y lacio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2022-04-22T17:04:50Z</dcterms:modified>
</cp:coreProperties>
</file>