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2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Una carga de </w:t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5×</m:t>
        </m:r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10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-6</m:t>
            </m:r>
          </m:sup>
        </m:sSup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C</m:t>
        </m:r>
      </m:oMath>
      <w:r>
        <w:rPr>
          <w:sz w:val="24"/>
          <w:highlight w:val="none"/>
        </w:rPr>
        <w:t xml:space="preserve"> se encuentra a 0.5cm de una carga de </w:t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-3×</m:t>
        </m:r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10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-6</m:t>
            </m:r>
          </m:sup>
        </m:sSup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C</m:t>
        </m:r>
      </m:oMath>
      <w:r>
        <w:rPr>
          <w:sz w:val="24"/>
          <w:highlight w:val="none"/>
        </w:rPr>
        <w:t xml:space="preserve">. ¿Cuál es la magnitud de la fuerza de atracción entre las cargas?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5,400N</w:t>
      </w:r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540N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54N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5.4N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2022-04-02T01:21:00Z</dcterms:modified>
</cp:coreProperties>
</file>