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9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Si las verduras contienen nutrientes y la zanahoria es una verdura, entonces: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la zanahoria contiene nutrientes &lt;-- correcta</w:t>
      </w:r>
      <w:r/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los nutrientes sólo están en las verduras</w:t>
      </w:r>
      <w:r/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sólo hay nutrientes en las zanahorias</w:t>
      </w:r>
      <w:r/>
    </w:p>
    <w:p>
      <w:pPr>
        <w:pStyle w:val="814"/>
        <w:numPr>
          <w:ilvl w:val="0"/>
          <w:numId w:val="9"/>
        </w:numPr>
      </w:pPr>
      <w:r>
        <w:rPr>
          <w:sz w:val="24"/>
          <w:highlight w:val="none"/>
        </w:rPr>
        <w:t xml:space="preserve">las verduras contienen zanahorias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2022-04-01T02:36:53Z</dcterms:modified>
</cp:coreProperties>
</file>