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Si los soldados ganan la guerra, entonces, no habrá violencia. ¿Cuál es la traducción a lenguaje lógico de esta proposición?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r>
        <w:rPr>
          <w:sz w:val="24"/>
          <w:highlight w:val="none"/>
        </w:rPr>
        <w:t xml:space="preserve">p: soldados ganan la guerra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q: habrá violencia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q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</w:t>
      </w:r>
      <m:oMath>
        <m:r>
          <w:rPr>
            <w:rFonts w:ascii="Cambria Math" w:hAnsi="Cambria Math" w:cs="Cambria Math" w:eastAsia="Cambria Math" w:hint="default"/>
          </w:rPr>
          <m:rPr/>
          <m:t>↔</m:t>
        </m:r>
      </m:oMath>
      <w:r>
        <w:rPr>
          <w:sz w:val="24"/>
          <w:highlight w:val="none"/>
        </w:rPr>
        <w:t xml:space="preserve"> ~q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 ~q &lt;— correcta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~p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q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2022-04-01T02:43:50Z</dcterms:modified>
</cp:coreProperties>
</file>