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940"/>
        <w:gridCol w:w="1842"/>
      </w:tblGrid>
      <w:tr w:rsidR="000A03B2" w:rsidRPr="00B57B36" w14:paraId="25A69E79" w14:textId="77777777" w:rsidTr="00DE264A">
        <w:trPr>
          <w:trHeight w:val="852"/>
          <w:jc w:val="center"/>
        </w:trPr>
        <w:tc>
          <w:tcPr>
            <w:tcW w:w="6946" w:type="dxa"/>
            <w:vMerge w:val="restart"/>
            <w:tcBorders>
              <w:right w:val="single" w:sz="4" w:space="0" w:color="auto"/>
            </w:tcBorders>
          </w:tcPr>
          <w:p w14:paraId="36911628" w14:textId="2313D214" w:rsidR="000A03B2" w:rsidRPr="00B57B36" w:rsidRDefault="004C6C8F" w:rsidP="00DE264A">
            <w:pPr>
              <w:tabs>
                <w:tab w:val="left" w:pos="-108"/>
              </w:tabs>
              <w:ind w:left="-108"/>
              <w:jc w:val="left"/>
              <w:rPr>
                <w:rFonts w:cs="Arial"/>
                <w:b/>
                <w:bCs/>
                <w:i/>
                <w:iCs/>
                <w:color w:val="000066"/>
                <w:sz w:val="12"/>
                <w:szCs w:val="12"/>
                <w:lang w:eastAsia="it-IT"/>
              </w:rPr>
            </w:pPr>
            <w:r w:rsidRPr="00413CD4">
              <w:rPr>
                <w:rFonts w:ascii="AdvP6960" w:hAnsi="AdvP6960" w:cs="AdvP6960"/>
                <w:noProof/>
                <w:color w:val="241F20"/>
                <w:szCs w:val="18"/>
                <w:lang w:val="it-IT" w:eastAsia="it-IT"/>
              </w:rPr>
              <w:drawing>
                <wp:inline distT="0" distB="0" distL="0" distR="0" wp14:anchorId="18BA52FC" wp14:editId="5E5CA431">
                  <wp:extent cx="638175" cy="371475"/>
                  <wp:effectExtent l="0" t="0" r="0" b="0"/>
                  <wp:docPr id="1" name="Immagine 5" descr="cet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cet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03B2" w:rsidRPr="00B57B36">
              <w:rPr>
                <w:rFonts w:ascii="AdvP6960" w:hAnsi="AdvP6960" w:cs="AdvP6960"/>
                <w:color w:val="241F20"/>
                <w:szCs w:val="18"/>
                <w:lang w:eastAsia="it-IT"/>
              </w:rPr>
              <w:t xml:space="preserve"> </w:t>
            </w:r>
            <w:r w:rsidR="000A03B2" w:rsidRPr="00B57B36">
              <w:rPr>
                <w:rFonts w:cs="Arial"/>
                <w:b/>
                <w:bCs/>
                <w:i/>
                <w:iCs/>
                <w:color w:val="000066"/>
                <w:sz w:val="24"/>
                <w:szCs w:val="24"/>
                <w:lang w:eastAsia="it-IT"/>
              </w:rPr>
              <w:t>CHEMICAL ENGINEERING</w:t>
            </w:r>
            <w:r w:rsidR="000A03B2" w:rsidRPr="00B57B36">
              <w:rPr>
                <w:rFonts w:cs="Arial"/>
                <w:b/>
                <w:bCs/>
                <w:i/>
                <w:iCs/>
                <w:color w:val="0033FF"/>
                <w:sz w:val="24"/>
                <w:szCs w:val="24"/>
                <w:lang w:eastAsia="it-IT"/>
              </w:rPr>
              <w:t xml:space="preserve"> </w:t>
            </w:r>
            <w:r w:rsidR="000A03B2" w:rsidRPr="00B57B36">
              <w:rPr>
                <w:rFonts w:cs="Arial"/>
                <w:b/>
                <w:bCs/>
                <w:i/>
                <w:iCs/>
                <w:color w:val="666666"/>
                <w:sz w:val="24"/>
                <w:szCs w:val="24"/>
                <w:lang w:eastAsia="it-IT"/>
              </w:rPr>
              <w:t>TRANSACTIONS</w:t>
            </w:r>
            <w:r w:rsidR="000A03B2" w:rsidRPr="00B57B36">
              <w:rPr>
                <w:color w:val="333333"/>
                <w:sz w:val="24"/>
                <w:szCs w:val="24"/>
                <w:lang w:eastAsia="it-IT"/>
              </w:rPr>
              <w:t xml:space="preserve"> </w:t>
            </w:r>
            <w:r w:rsidR="000A03B2" w:rsidRPr="00B57B36">
              <w:rPr>
                <w:rFonts w:cs="Arial"/>
                <w:b/>
                <w:bCs/>
                <w:i/>
                <w:iCs/>
                <w:color w:val="000066"/>
                <w:sz w:val="27"/>
                <w:szCs w:val="27"/>
                <w:lang w:eastAsia="it-IT"/>
              </w:rPr>
              <w:br/>
            </w:r>
          </w:p>
          <w:p w14:paraId="770BBE3E" w14:textId="77777777" w:rsidR="000A03B2" w:rsidRPr="00B57B36" w:rsidRDefault="00A76EFC" w:rsidP="005D668A">
            <w:pPr>
              <w:tabs>
                <w:tab w:val="left" w:pos="-108"/>
              </w:tabs>
              <w:ind w:left="-108"/>
              <w:rPr>
                <w:rFonts w:cs="Arial"/>
                <w:b/>
                <w:bCs/>
                <w:i/>
                <w:iCs/>
                <w:color w:val="000066"/>
                <w:sz w:val="22"/>
                <w:szCs w:val="22"/>
                <w:lang w:eastAsia="it-IT"/>
              </w:rPr>
            </w:pPr>
            <w:r w:rsidRPr="00B57B36">
              <w:rPr>
                <w:rFonts w:cs="Arial"/>
                <w:b/>
                <w:bCs/>
                <w:i/>
                <w:iCs/>
                <w:color w:val="000066"/>
                <w:sz w:val="22"/>
                <w:szCs w:val="22"/>
                <w:lang w:eastAsia="it-IT"/>
              </w:rPr>
              <w:t xml:space="preserve">VOL. </w:t>
            </w:r>
            <w:r w:rsidR="007A4861">
              <w:rPr>
                <w:rFonts w:cs="Arial"/>
                <w:b/>
                <w:bCs/>
                <w:i/>
                <w:iCs/>
                <w:color w:val="000066"/>
                <w:sz w:val="22"/>
                <w:szCs w:val="22"/>
                <w:lang w:eastAsia="it-IT"/>
              </w:rPr>
              <w:t>8</w:t>
            </w:r>
            <w:r w:rsidR="00FD3E85">
              <w:rPr>
                <w:rFonts w:cs="Arial"/>
                <w:b/>
                <w:bCs/>
                <w:i/>
                <w:iCs/>
                <w:color w:val="000066"/>
                <w:sz w:val="22"/>
                <w:szCs w:val="22"/>
                <w:lang w:eastAsia="it-IT"/>
              </w:rPr>
              <w:t>6</w:t>
            </w:r>
            <w:r w:rsidR="00FA5F5F">
              <w:rPr>
                <w:rFonts w:cs="Arial"/>
                <w:b/>
                <w:bCs/>
                <w:i/>
                <w:iCs/>
                <w:color w:val="000066"/>
                <w:sz w:val="22"/>
                <w:szCs w:val="22"/>
                <w:lang w:eastAsia="it-IT"/>
              </w:rPr>
              <w:t>, 20</w:t>
            </w:r>
            <w:r w:rsidR="00DF5072">
              <w:rPr>
                <w:rFonts w:cs="Arial"/>
                <w:b/>
                <w:bCs/>
                <w:i/>
                <w:iCs/>
                <w:color w:val="000066"/>
                <w:sz w:val="22"/>
                <w:szCs w:val="22"/>
                <w:lang w:eastAsia="it-IT"/>
              </w:rPr>
              <w:t>2</w:t>
            </w:r>
            <w:r w:rsidR="005D668A">
              <w:rPr>
                <w:rFonts w:cs="Arial"/>
                <w:b/>
                <w:bCs/>
                <w:i/>
                <w:iCs/>
                <w:color w:val="000066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184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88E4CD5" w14:textId="77777777" w:rsidR="000A03B2" w:rsidRPr="00B57B36" w:rsidRDefault="000A03B2" w:rsidP="00CD5FE2">
            <w:pPr>
              <w:spacing w:line="140" w:lineRule="atLeast"/>
              <w:jc w:val="right"/>
              <w:rPr>
                <w:rFonts w:cs="Arial"/>
                <w:sz w:val="14"/>
                <w:szCs w:val="14"/>
              </w:rPr>
            </w:pPr>
            <w:r w:rsidRPr="00B57B36">
              <w:rPr>
                <w:rFonts w:cs="Arial"/>
                <w:sz w:val="14"/>
                <w:szCs w:val="14"/>
              </w:rPr>
              <w:t>A publication of</w:t>
            </w:r>
          </w:p>
          <w:p w14:paraId="2626480B" w14:textId="45510147" w:rsidR="000A03B2" w:rsidRPr="00B57B36" w:rsidRDefault="004C6C8F" w:rsidP="00CD5FE2">
            <w:pPr>
              <w:jc w:val="right"/>
            </w:pPr>
            <w:r w:rsidRPr="00413CD4">
              <w:rPr>
                <w:noProof/>
                <w:lang w:val="it-IT" w:eastAsia="it-IT"/>
              </w:rPr>
              <w:drawing>
                <wp:inline distT="0" distB="0" distL="0" distR="0" wp14:anchorId="3F0E4CB6" wp14:editId="3768AA10">
                  <wp:extent cx="666750" cy="361950"/>
                  <wp:effectExtent l="0" t="0" r="0" b="0"/>
                  <wp:docPr id="2" name="Immagine 6" descr="aidiclogo_gran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6" descr="aidiclogo_gran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3B2" w:rsidRPr="00B57B36" w14:paraId="2B6EB2B0" w14:textId="77777777" w:rsidTr="00DE264A">
        <w:trPr>
          <w:trHeight w:val="567"/>
          <w:jc w:val="center"/>
        </w:trPr>
        <w:tc>
          <w:tcPr>
            <w:tcW w:w="6946" w:type="dxa"/>
            <w:vMerge/>
            <w:tcBorders>
              <w:right w:val="single" w:sz="4" w:space="0" w:color="auto"/>
            </w:tcBorders>
          </w:tcPr>
          <w:p w14:paraId="041A3E95" w14:textId="77777777" w:rsidR="000A03B2" w:rsidRPr="00B57B36" w:rsidRDefault="000A03B2" w:rsidP="00CD5FE2">
            <w:pPr>
              <w:tabs>
                <w:tab w:val="left" w:pos="-108"/>
              </w:tabs>
            </w:pPr>
          </w:p>
        </w:tc>
        <w:tc>
          <w:tcPr>
            <w:tcW w:w="184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DDF9D90" w14:textId="77777777" w:rsidR="000A03B2" w:rsidRPr="00B57B36" w:rsidRDefault="000A03B2" w:rsidP="00CD5FE2">
            <w:pPr>
              <w:spacing w:line="140" w:lineRule="atLeast"/>
              <w:jc w:val="right"/>
              <w:rPr>
                <w:rFonts w:cs="Arial"/>
                <w:sz w:val="14"/>
                <w:szCs w:val="14"/>
              </w:rPr>
            </w:pPr>
            <w:r w:rsidRPr="00B57B36">
              <w:rPr>
                <w:rFonts w:cs="Arial"/>
                <w:sz w:val="14"/>
                <w:szCs w:val="14"/>
              </w:rPr>
              <w:t>The Italian Association</w:t>
            </w:r>
          </w:p>
          <w:p w14:paraId="06AC8970" w14:textId="77777777" w:rsidR="000A03B2" w:rsidRPr="00B57B36" w:rsidRDefault="000A03B2" w:rsidP="00CD5FE2">
            <w:pPr>
              <w:spacing w:line="140" w:lineRule="atLeast"/>
              <w:jc w:val="right"/>
              <w:rPr>
                <w:rFonts w:cs="Arial"/>
                <w:sz w:val="14"/>
                <w:szCs w:val="14"/>
              </w:rPr>
            </w:pPr>
            <w:r w:rsidRPr="00B57B36">
              <w:rPr>
                <w:rFonts w:cs="Arial"/>
                <w:sz w:val="14"/>
                <w:szCs w:val="14"/>
              </w:rPr>
              <w:t>of Chemical Engineering</w:t>
            </w:r>
          </w:p>
          <w:p w14:paraId="2421455C" w14:textId="77777777" w:rsidR="000A03B2" w:rsidRPr="000D0268" w:rsidRDefault="000D0268" w:rsidP="00CD5FE2">
            <w:pPr>
              <w:spacing w:line="140" w:lineRule="atLeast"/>
              <w:jc w:val="right"/>
              <w:rPr>
                <w:rFonts w:cs="Arial"/>
                <w:sz w:val="13"/>
                <w:szCs w:val="13"/>
              </w:rPr>
            </w:pPr>
            <w:r w:rsidRPr="000D0268">
              <w:rPr>
                <w:rFonts w:cs="Arial"/>
                <w:sz w:val="13"/>
                <w:szCs w:val="13"/>
              </w:rPr>
              <w:t>Online at www.cetjournal.it</w:t>
            </w:r>
          </w:p>
        </w:tc>
      </w:tr>
      <w:tr w:rsidR="000A03B2" w:rsidRPr="00B57B36" w14:paraId="1E2184A7" w14:textId="77777777" w:rsidTr="00DE264A">
        <w:trPr>
          <w:trHeight w:val="68"/>
          <w:jc w:val="center"/>
        </w:trPr>
        <w:tc>
          <w:tcPr>
            <w:tcW w:w="8789" w:type="dxa"/>
            <w:gridSpan w:val="2"/>
          </w:tcPr>
          <w:p w14:paraId="50C9E2BA" w14:textId="77777777" w:rsidR="00300E56" w:rsidRPr="007931FA" w:rsidRDefault="00300E56" w:rsidP="007931FA">
            <w:pPr>
              <w:ind w:left="-107"/>
              <w:rPr>
                <w:rFonts w:ascii="Times New Roman" w:hAnsi="Times New Roman"/>
                <w:sz w:val="24"/>
                <w:szCs w:val="24"/>
                <w:lang w:val="en-US" w:eastAsia="it-IT"/>
              </w:rPr>
            </w:pPr>
            <w:r w:rsidRPr="00B57B36"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t>Guest Editors:</w:t>
            </w:r>
            <w:r w:rsidR="00904C62" w:rsidRPr="00B57B36"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t xml:space="preserve"> </w:t>
            </w:r>
            <w:r w:rsidR="00FD3E85" w:rsidRPr="008A46E5">
              <w:rPr>
                <w:rFonts w:ascii="Tahoma" w:hAnsi="Tahoma" w:cs="Tahoma"/>
                <w:sz w:val="14"/>
                <w:szCs w:val="14"/>
              </w:rPr>
              <w:t xml:space="preserve">Sauro Pierucci, </w:t>
            </w:r>
            <w:r w:rsidR="00FD3E85" w:rsidRPr="008A46E5">
              <w:rPr>
                <w:rFonts w:ascii="Tahoma" w:hAnsi="Tahoma" w:cs="Tahoma"/>
                <w:sz w:val="14"/>
                <w:szCs w:val="14"/>
                <w:shd w:val="clear" w:color="auto" w:fill="FFFFFF"/>
              </w:rPr>
              <w:t>Jiří Jaromír Klemeš</w:t>
            </w:r>
          </w:p>
          <w:p w14:paraId="6C0BDCC6" w14:textId="77777777" w:rsidR="000A03B2" w:rsidRPr="00B57B36" w:rsidRDefault="00FA5F5F" w:rsidP="005D668A">
            <w:pPr>
              <w:tabs>
                <w:tab w:val="left" w:pos="-108"/>
              </w:tabs>
              <w:spacing w:line="140" w:lineRule="atLeast"/>
              <w:ind w:left="-107"/>
              <w:jc w:val="left"/>
            </w:pPr>
            <w:r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t>Copyright © 20</w:t>
            </w:r>
            <w:r w:rsidR="00DF5072"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t>2</w:t>
            </w:r>
            <w:r w:rsidR="005D668A"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t>1</w:t>
            </w:r>
            <w:r w:rsidR="00904C62" w:rsidRPr="00B57B36"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t>, AIDIC Servizi S.r.l.</w:t>
            </w:r>
            <w:r w:rsidR="00300E56" w:rsidRPr="00B57B36"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br/>
            </w:r>
            <w:r w:rsidR="00300E56" w:rsidRPr="00B57B36">
              <w:rPr>
                <w:rFonts w:ascii="Tahoma" w:hAnsi="Tahoma" w:cs="Tahoma"/>
                <w:b/>
                <w:iCs/>
                <w:color w:val="000000"/>
                <w:sz w:val="14"/>
                <w:szCs w:val="14"/>
                <w:lang w:eastAsia="it-IT"/>
              </w:rPr>
              <w:t>ISBN</w:t>
            </w:r>
            <w:r w:rsidR="00300E56" w:rsidRPr="00B57B36">
              <w:rPr>
                <w:rFonts w:ascii="Tahoma" w:hAnsi="Tahoma" w:cs="Tahoma"/>
                <w:iCs/>
                <w:color w:val="000000"/>
                <w:sz w:val="14"/>
                <w:szCs w:val="14"/>
                <w:lang w:eastAsia="it-IT"/>
              </w:rPr>
              <w:t xml:space="preserve"> </w:t>
            </w:r>
            <w:r w:rsidR="008D32B9">
              <w:rPr>
                <w:rFonts w:ascii="Tahoma" w:hAnsi="Tahoma" w:cs="Tahoma"/>
                <w:sz w:val="14"/>
                <w:szCs w:val="14"/>
              </w:rPr>
              <w:t>978-88-</w:t>
            </w:r>
            <w:r w:rsidR="008D32B9" w:rsidRPr="00EF06D9">
              <w:rPr>
                <w:rFonts w:ascii="Tahoma" w:hAnsi="Tahoma" w:cs="Tahoma"/>
                <w:sz w:val="14"/>
                <w:szCs w:val="14"/>
              </w:rPr>
              <w:t>95608-</w:t>
            </w:r>
            <w:r w:rsidR="00EF06D9" w:rsidRPr="00EF06D9">
              <w:rPr>
                <w:rFonts w:ascii="Tahoma" w:hAnsi="Tahoma" w:cs="Tahoma"/>
                <w:sz w:val="14"/>
                <w:szCs w:val="14"/>
              </w:rPr>
              <w:t>8</w:t>
            </w:r>
            <w:r w:rsidR="00FD3E85">
              <w:rPr>
                <w:rFonts w:ascii="Tahoma" w:hAnsi="Tahoma" w:cs="Tahoma"/>
                <w:sz w:val="14"/>
                <w:szCs w:val="14"/>
              </w:rPr>
              <w:t>4</w:t>
            </w:r>
            <w:r w:rsidR="008D32B9" w:rsidRPr="00EF06D9">
              <w:rPr>
                <w:rFonts w:ascii="Tahoma" w:hAnsi="Tahoma" w:cs="Tahoma"/>
                <w:sz w:val="14"/>
                <w:szCs w:val="14"/>
              </w:rPr>
              <w:t>-</w:t>
            </w:r>
            <w:r w:rsidR="00FD3E85">
              <w:rPr>
                <w:rFonts w:ascii="Tahoma" w:hAnsi="Tahoma" w:cs="Tahoma"/>
                <w:sz w:val="14"/>
                <w:szCs w:val="14"/>
              </w:rPr>
              <w:t>6</w:t>
            </w:r>
            <w:r w:rsidR="00300E56" w:rsidRPr="00EF06D9"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t>;</w:t>
            </w:r>
            <w:r w:rsidR="00300E56" w:rsidRPr="00B57B36"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t xml:space="preserve"> </w:t>
            </w:r>
            <w:r w:rsidR="00300E56" w:rsidRPr="00B57B36">
              <w:rPr>
                <w:rFonts w:ascii="Tahoma" w:hAnsi="Tahoma" w:cs="Tahoma"/>
                <w:b/>
                <w:iCs/>
                <w:color w:val="333333"/>
                <w:sz w:val="14"/>
                <w:szCs w:val="14"/>
                <w:lang w:eastAsia="it-IT"/>
              </w:rPr>
              <w:t>ISSN</w:t>
            </w:r>
            <w:r w:rsidR="00300E56" w:rsidRPr="00B57B36"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t xml:space="preserve"> 2283-9216</w:t>
            </w:r>
          </w:p>
        </w:tc>
      </w:tr>
    </w:tbl>
    <w:p w14:paraId="06EAC3BA" w14:textId="77777777" w:rsidR="000A03B2" w:rsidRPr="00B57B36" w:rsidRDefault="000A03B2" w:rsidP="000A03B2">
      <w:pPr>
        <w:pStyle w:val="CETAuthors"/>
        <w:sectPr w:rsidR="000A03B2" w:rsidRPr="00B57B36" w:rsidSect="00CD5FE2">
          <w:type w:val="continuous"/>
          <w:pgSz w:w="11906" w:h="16838" w:code="9"/>
          <w:pgMar w:top="1701" w:right="1418" w:bottom="1701" w:left="1701" w:header="1701" w:footer="0" w:gutter="0"/>
          <w:cols w:space="708"/>
          <w:titlePg/>
          <w:docGrid w:linePitch="360"/>
        </w:sectPr>
      </w:pPr>
    </w:p>
    <w:p w14:paraId="77636DDD" w14:textId="77777777" w:rsidR="00E978D0" w:rsidRPr="00B57B36" w:rsidRDefault="0030613C" w:rsidP="00E978D0">
      <w:pPr>
        <w:pStyle w:val="CETTitle"/>
      </w:pPr>
      <w:r>
        <w:t>Microbial Pb(II) precipitation: the role of  biosorption as a Pb(II) removal mechanism</w:t>
      </w:r>
    </w:p>
    <w:p w14:paraId="3C7AB970" w14:textId="77777777" w:rsidR="00E978D0" w:rsidRPr="00B57B36" w:rsidRDefault="0030613C" w:rsidP="00AB5011">
      <w:pPr>
        <w:pStyle w:val="CETAuthors"/>
      </w:pPr>
      <w:r>
        <w:t>Brandon van Veenhuyzen</w:t>
      </w:r>
      <w:r w:rsidR="00600535" w:rsidRPr="00B57B36">
        <w:rPr>
          <w:vertAlign w:val="superscript"/>
        </w:rPr>
        <w:t>a</w:t>
      </w:r>
      <w:r w:rsidR="00600535" w:rsidRPr="00B57B36">
        <w:t>,</w:t>
      </w:r>
      <w:r>
        <w:t xml:space="preserve"> Evans M.N. Chirwa</w:t>
      </w:r>
      <w:r w:rsidR="00FE78CE">
        <w:rPr>
          <w:vertAlign w:val="superscript"/>
        </w:rPr>
        <w:t>a</w:t>
      </w:r>
      <w:r>
        <w:t>,</w:t>
      </w:r>
      <w:r w:rsidR="00600535" w:rsidRPr="00B57B36">
        <w:t xml:space="preserve"> </w:t>
      </w:r>
      <w:r>
        <w:t>Hendrik G. Brink</w:t>
      </w:r>
      <w:r w:rsidR="00FE78CE">
        <w:rPr>
          <w:vertAlign w:val="superscript"/>
        </w:rPr>
        <w:t>a</w:t>
      </w:r>
      <w:r w:rsidR="00600535" w:rsidRPr="00B57B36">
        <w:rPr>
          <w:vertAlign w:val="superscript"/>
        </w:rPr>
        <w:t>,</w:t>
      </w:r>
      <w:r w:rsidR="00600535" w:rsidRPr="00B57B36">
        <w:t>*</w:t>
      </w:r>
    </w:p>
    <w:p w14:paraId="4B28C4CB" w14:textId="77777777" w:rsidR="0030613C" w:rsidRPr="0030613C" w:rsidRDefault="0030613C" w:rsidP="0030613C">
      <w:pPr>
        <w:pStyle w:val="CETAddress"/>
      </w:pPr>
      <w:r>
        <w:rPr>
          <w:vertAlign w:val="superscript"/>
        </w:rPr>
        <w:t>a</w:t>
      </w:r>
      <w:r w:rsidRPr="0030613C">
        <w:t>Department of Chemical Engineering, Faculty of Engineering, Built Environment and Information Technology, University of</w:t>
      </w:r>
    </w:p>
    <w:p w14:paraId="7612880B" w14:textId="77777777" w:rsidR="0030613C" w:rsidRPr="0030613C" w:rsidRDefault="0030613C" w:rsidP="0030613C">
      <w:pPr>
        <w:pStyle w:val="CETAddress"/>
      </w:pPr>
      <w:r w:rsidRPr="0030613C">
        <w:t>Pretoria, Pretoria, South Africa</w:t>
      </w:r>
    </w:p>
    <w:p w14:paraId="3FFA0834" w14:textId="77777777" w:rsidR="00E978D0" w:rsidRPr="00B57B36" w:rsidRDefault="0030613C" w:rsidP="00E978D0">
      <w:pPr>
        <w:pStyle w:val="CETemail"/>
      </w:pPr>
      <w:r>
        <w:t>deon.brink@up.ac.za</w:t>
      </w:r>
    </w:p>
    <w:p w14:paraId="7619969E" w14:textId="36AD4ED7" w:rsidR="0030613C" w:rsidRPr="0030613C" w:rsidRDefault="00ED125C" w:rsidP="0030613C">
      <w:pPr>
        <w:pStyle w:val="CETBodytext"/>
        <w:rPr>
          <w:lang w:val="en-GB"/>
        </w:rPr>
      </w:pPr>
      <w:r>
        <w:rPr>
          <w:lang w:val="en-GB"/>
        </w:rPr>
        <w:t>T</w:t>
      </w:r>
      <w:r w:rsidR="0030613C" w:rsidRPr="0030613C">
        <w:rPr>
          <w:lang w:val="en-GB"/>
        </w:rPr>
        <w:t xml:space="preserve">he role of </w:t>
      </w:r>
      <w:r w:rsidR="002F163D">
        <w:rPr>
          <w:lang w:val="en-GB"/>
        </w:rPr>
        <w:t>a metabolically independent lead removal mechanism</w:t>
      </w:r>
      <w:r w:rsidR="0030613C" w:rsidRPr="0030613C">
        <w:rPr>
          <w:lang w:val="en-GB"/>
        </w:rPr>
        <w:t xml:space="preserve"> in</w:t>
      </w:r>
      <w:r w:rsidR="002F163D">
        <w:rPr>
          <w:lang w:val="en-GB"/>
        </w:rPr>
        <w:t xml:space="preserve"> an</w:t>
      </w:r>
      <w:r w:rsidR="0030613C" w:rsidRPr="0030613C">
        <w:rPr>
          <w:lang w:val="en-GB"/>
        </w:rPr>
        <w:t xml:space="preserve"> industrially obtained </w:t>
      </w:r>
      <w:r w:rsidR="00A95155">
        <w:rPr>
          <w:lang w:val="en-GB"/>
        </w:rPr>
        <w:t>lead-precipitating</w:t>
      </w:r>
      <w:r w:rsidR="00A95155" w:rsidRPr="0030613C">
        <w:rPr>
          <w:lang w:val="en-GB"/>
        </w:rPr>
        <w:t xml:space="preserve"> consortium</w:t>
      </w:r>
      <w:r w:rsidR="002F163D">
        <w:rPr>
          <w:lang w:val="en-GB"/>
        </w:rPr>
        <w:t xml:space="preserve"> was investigated. </w:t>
      </w:r>
      <w:r w:rsidR="0030613C" w:rsidRPr="0030613C">
        <w:rPr>
          <w:lang w:val="en-GB"/>
        </w:rPr>
        <w:t>Cultures were prepared under anaerobic conditions for 24 hours in batch reactors starting with 20 g</w:t>
      </w:r>
      <w:r w:rsidR="00EB4BED">
        <w:rPr>
          <w:lang w:val="en-GB"/>
        </w:rPr>
        <w:t xml:space="preserve"> </w:t>
      </w:r>
      <w:r w:rsidR="00EB4BED" w:rsidRPr="0030613C">
        <w:rPr>
          <w:lang w:val="en-GB"/>
        </w:rPr>
        <w:t>L</w:t>
      </w:r>
      <w:r w:rsidR="00EB4BED">
        <w:rPr>
          <w:vertAlign w:val="superscript"/>
          <w:lang w:val="en-GB"/>
        </w:rPr>
        <w:t>-1</w:t>
      </w:r>
      <w:r w:rsidR="0030613C" w:rsidRPr="0030613C">
        <w:rPr>
          <w:lang w:val="en-GB"/>
        </w:rPr>
        <w:t xml:space="preserve"> tryptone, 10 g</w:t>
      </w:r>
      <w:r w:rsidR="00EB4BED">
        <w:rPr>
          <w:lang w:val="en-GB"/>
        </w:rPr>
        <w:t xml:space="preserve"> </w:t>
      </w:r>
      <w:r w:rsidR="0030613C" w:rsidRPr="0030613C">
        <w:rPr>
          <w:lang w:val="en-GB"/>
        </w:rPr>
        <w:t>L</w:t>
      </w:r>
      <w:r w:rsidR="00EB4BED">
        <w:rPr>
          <w:vertAlign w:val="superscript"/>
          <w:lang w:val="en-GB"/>
        </w:rPr>
        <w:t>-1</w:t>
      </w:r>
      <w:r w:rsidR="0030613C" w:rsidRPr="0030613C">
        <w:rPr>
          <w:lang w:val="en-GB"/>
        </w:rPr>
        <w:t xml:space="preserve"> yeast extract, 1.0 g</w:t>
      </w:r>
      <w:r w:rsidR="00EB4BED">
        <w:rPr>
          <w:lang w:val="en-GB"/>
        </w:rPr>
        <w:t xml:space="preserve"> </w:t>
      </w:r>
      <w:r w:rsidR="00EB4BED" w:rsidRPr="0030613C">
        <w:rPr>
          <w:lang w:val="en-GB"/>
        </w:rPr>
        <w:t>L</w:t>
      </w:r>
      <w:r w:rsidR="00EB4BED">
        <w:rPr>
          <w:vertAlign w:val="superscript"/>
          <w:lang w:val="en-GB"/>
        </w:rPr>
        <w:t>-1</w:t>
      </w:r>
      <w:r w:rsidR="0030613C" w:rsidRPr="0030613C">
        <w:rPr>
          <w:lang w:val="en-GB"/>
        </w:rPr>
        <w:t xml:space="preserve"> NaCl and 0.43 g</w:t>
      </w:r>
      <w:r w:rsidR="00EB4BED">
        <w:rPr>
          <w:lang w:val="en-GB"/>
        </w:rPr>
        <w:t xml:space="preserve"> </w:t>
      </w:r>
      <w:r w:rsidR="00EB4BED" w:rsidRPr="0030613C">
        <w:rPr>
          <w:lang w:val="en-GB"/>
        </w:rPr>
        <w:t>L</w:t>
      </w:r>
      <w:r w:rsidR="00EB4BED">
        <w:rPr>
          <w:vertAlign w:val="superscript"/>
          <w:lang w:val="en-GB"/>
        </w:rPr>
        <w:t>-1</w:t>
      </w:r>
      <w:r w:rsidR="0030613C" w:rsidRPr="0030613C">
        <w:rPr>
          <w:lang w:val="en-GB"/>
        </w:rPr>
        <w:t xml:space="preserve"> NaNO</w:t>
      </w:r>
      <w:r w:rsidR="0030613C" w:rsidRPr="00FE78CE">
        <w:rPr>
          <w:vertAlign w:val="subscript"/>
          <w:lang w:val="en-GB"/>
        </w:rPr>
        <w:t>3</w:t>
      </w:r>
      <w:r w:rsidR="0030613C" w:rsidRPr="0030613C">
        <w:rPr>
          <w:lang w:val="en-GB"/>
        </w:rPr>
        <w:t>. Bacteria were suspended in 50 mM of sodium azide (NaN</w:t>
      </w:r>
      <w:r w:rsidR="0030613C" w:rsidRPr="00FE78CE">
        <w:rPr>
          <w:vertAlign w:val="subscript"/>
          <w:lang w:val="en-GB"/>
        </w:rPr>
        <w:t>3</w:t>
      </w:r>
      <w:r w:rsidR="0030613C" w:rsidRPr="0030613C">
        <w:rPr>
          <w:lang w:val="en-GB"/>
        </w:rPr>
        <w:t>) solution for 3 h to successfully inhibit the microbial respiratory chain, thereby preventing bacteria growth and activity. Fourier-transform infrared spectroscopy (FTIR) was used to inspect whether NaN</w:t>
      </w:r>
      <w:r w:rsidR="0030613C" w:rsidRPr="00FE78CE">
        <w:rPr>
          <w:vertAlign w:val="subscript"/>
          <w:lang w:val="en-GB"/>
        </w:rPr>
        <w:t>3</w:t>
      </w:r>
      <w:r w:rsidR="0030613C" w:rsidRPr="0030613C">
        <w:rPr>
          <w:lang w:val="en-GB"/>
        </w:rPr>
        <w:t xml:space="preserve"> deformed the structure of bacteria cell walls and changed material characteristics.  </w:t>
      </w:r>
    </w:p>
    <w:p w14:paraId="4EB42289" w14:textId="77777777" w:rsidR="0030613C" w:rsidRPr="0030613C" w:rsidRDefault="0030613C" w:rsidP="0030613C">
      <w:pPr>
        <w:pStyle w:val="CETBodytext"/>
        <w:rPr>
          <w:lang w:val="en-GB"/>
        </w:rPr>
      </w:pPr>
      <w:r w:rsidRPr="0030613C">
        <w:rPr>
          <w:lang w:val="en-GB"/>
        </w:rPr>
        <w:t>Reactors containing 100 mL of 80 mg</w:t>
      </w:r>
      <w:r w:rsidR="00EB4BED">
        <w:rPr>
          <w:lang w:val="en-GB"/>
        </w:rPr>
        <w:t xml:space="preserve"> </w:t>
      </w:r>
      <w:r w:rsidR="00EB4BED" w:rsidRPr="0030613C">
        <w:rPr>
          <w:lang w:val="en-GB"/>
        </w:rPr>
        <w:t>L</w:t>
      </w:r>
      <w:r w:rsidR="00EB4BED">
        <w:rPr>
          <w:vertAlign w:val="superscript"/>
          <w:lang w:val="en-GB"/>
        </w:rPr>
        <w:t>-1</w:t>
      </w:r>
      <w:r w:rsidRPr="0030613C">
        <w:rPr>
          <w:lang w:val="en-GB"/>
        </w:rPr>
        <w:t xml:space="preserve"> Pb(II)</w:t>
      </w:r>
      <w:r w:rsidR="00EB4BED">
        <w:rPr>
          <w:lang w:val="en-GB"/>
        </w:rPr>
        <w:t xml:space="preserve"> </w:t>
      </w:r>
      <w:r w:rsidRPr="0030613C">
        <w:rPr>
          <w:lang w:val="en-GB"/>
        </w:rPr>
        <w:t>and 1.0 g/L NaCl were spiked with 1 mL of</w:t>
      </w:r>
      <w:r w:rsidR="00EB4BED">
        <w:rPr>
          <w:lang w:val="en-GB"/>
        </w:rPr>
        <w:t xml:space="preserve"> NaN</w:t>
      </w:r>
      <w:r w:rsidR="00EB4BED">
        <w:rPr>
          <w:vertAlign w:val="subscript"/>
          <w:lang w:val="en-GB"/>
        </w:rPr>
        <w:t>3</w:t>
      </w:r>
      <w:r w:rsidR="00EB4BED">
        <w:rPr>
          <w:lang w:val="en-GB"/>
        </w:rPr>
        <w:t>-sterilized</w:t>
      </w:r>
      <w:r w:rsidRPr="0030613C">
        <w:rPr>
          <w:lang w:val="en-GB"/>
        </w:rPr>
        <w:t xml:space="preserve"> bacteria culture and sampled over a </w:t>
      </w:r>
      <w:r w:rsidR="00EB4BED">
        <w:rPr>
          <w:lang w:val="en-GB"/>
        </w:rPr>
        <w:t>3 h</w:t>
      </w:r>
      <w:r w:rsidRPr="0030613C">
        <w:rPr>
          <w:lang w:val="en-GB"/>
        </w:rPr>
        <w:t xml:space="preserve"> period. Bulk Pb(II) concentration and metabolic activity were measured.</w:t>
      </w:r>
      <w:r w:rsidR="00DB6A66">
        <w:rPr>
          <w:lang w:val="en-GB"/>
        </w:rPr>
        <w:t xml:space="preserve"> </w:t>
      </w:r>
    </w:p>
    <w:p w14:paraId="6F9DB46A" w14:textId="0B52FD65" w:rsidR="008F569A" w:rsidRDefault="0030613C" w:rsidP="0030613C">
      <w:pPr>
        <w:pStyle w:val="CETBodytext"/>
        <w:rPr>
          <w:lang w:val="en-GB"/>
        </w:rPr>
      </w:pPr>
      <w:r w:rsidRPr="0030613C">
        <w:rPr>
          <w:lang w:val="en-GB"/>
        </w:rPr>
        <w:t xml:space="preserve">Results showed </w:t>
      </w:r>
      <w:r w:rsidR="00DB6A66">
        <w:rPr>
          <w:lang w:val="en-GB"/>
        </w:rPr>
        <w:t>that</w:t>
      </w:r>
      <w:r w:rsidR="00EB4BED">
        <w:rPr>
          <w:lang w:val="en-GB"/>
        </w:rPr>
        <w:t xml:space="preserve"> NaN</w:t>
      </w:r>
      <w:r w:rsidR="00EB4BED">
        <w:rPr>
          <w:vertAlign w:val="subscript"/>
          <w:lang w:val="en-GB"/>
        </w:rPr>
        <w:t>3</w:t>
      </w:r>
      <w:r w:rsidR="00EB4BED">
        <w:rPr>
          <w:lang w:val="en-GB"/>
        </w:rPr>
        <w:t xml:space="preserve"> </w:t>
      </w:r>
      <w:r w:rsidR="00646EA5">
        <w:rPr>
          <w:lang w:val="en-GB"/>
        </w:rPr>
        <w:t xml:space="preserve">was </w:t>
      </w:r>
      <w:r w:rsidR="00EB4BED">
        <w:rPr>
          <w:lang w:val="en-GB"/>
        </w:rPr>
        <w:t>an effective means to cease metabolic activity of the consortium without altering the surface properties.</w:t>
      </w:r>
      <w:r w:rsidR="00DB6A66">
        <w:rPr>
          <w:lang w:val="en-GB"/>
        </w:rPr>
        <w:t xml:space="preserve"> Pb(II) is still removed from solution (61.7 %) by dead bacteria after NaN</w:t>
      </w:r>
      <w:r w:rsidR="00DB6A66">
        <w:rPr>
          <w:vertAlign w:val="subscript"/>
          <w:lang w:val="en-GB"/>
        </w:rPr>
        <w:t xml:space="preserve">3 </w:t>
      </w:r>
      <w:r w:rsidR="00DB6A66" w:rsidRPr="00DB6A66">
        <w:rPr>
          <w:lang w:val="en-GB"/>
        </w:rPr>
        <w:t>sterilizat</w:t>
      </w:r>
      <w:r w:rsidR="00DB6A66">
        <w:rPr>
          <w:lang w:val="en-GB"/>
        </w:rPr>
        <w:t>ion, indicating</w:t>
      </w:r>
      <w:r w:rsidRPr="0030613C">
        <w:rPr>
          <w:lang w:val="en-GB"/>
        </w:rPr>
        <w:t xml:space="preserve"> that the</w:t>
      </w:r>
      <w:r w:rsidR="008F569A">
        <w:rPr>
          <w:lang w:val="en-GB"/>
        </w:rPr>
        <w:t xml:space="preserve"> initial</w:t>
      </w:r>
      <w:r w:rsidRPr="0030613C">
        <w:rPr>
          <w:lang w:val="en-GB"/>
        </w:rPr>
        <w:t xml:space="preserve"> removal</w:t>
      </w:r>
      <w:r w:rsidR="00BB5282">
        <w:rPr>
          <w:lang w:val="en-GB"/>
        </w:rPr>
        <w:t xml:space="preserve"> of </w:t>
      </w:r>
      <w:r w:rsidR="00BB5282" w:rsidRPr="0030613C">
        <w:rPr>
          <w:lang w:val="en-GB"/>
        </w:rPr>
        <w:t xml:space="preserve">Pb(II) </w:t>
      </w:r>
      <w:r w:rsidR="00BB5282">
        <w:rPr>
          <w:lang w:val="en-GB"/>
        </w:rPr>
        <w:t>from solution</w:t>
      </w:r>
      <w:r w:rsidRPr="0030613C">
        <w:rPr>
          <w:lang w:val="en-GB"/>
        </w:rPr>
        <w:t xml:space="preserve"> </w:t>
      </w:r>
      <w:r w:rsidR="00646EA5">
        <w:rPr>
          <w:lang w:val="en-GB"/>
        </w:rPr>
        <w:t>by the lead-precipitating</w:t>
      </w:r>
      <w:r w:rsidR="00646EA5" w:rsidRPr="0030613C">
        <w:rPr>
          <w:lang w:val="en-GB"/>
        </w:rPr>
        <w:t xml:space="preserve"> consortium</w:t>
      </w:r>
      <w:r w:rsidRPr="0030613C">
        <w:rPr>
          <w:lang w:val="en-GB"/>
        </w:rPr>
        <w:t xml:space="preserve"> is </w:t>
      </w:r>
      <w:r w:rsidR="00DB6A66">
        <w:rPr>
          <w:lang w:val="en-GB"/>
        </w:rPr>
        <w:t>an</w:t>
      </w:r>
      <w:r w:rsidRPr="0030613C">
        <w:rPr>
          <w:lang w:val="en-GB"/>
        </w:rPr>
        <w:t xml:space="preserve"> abiotic </w:t>
      </w:r>
      <w:r w:rsidR="00DB6A66">
        <w:rPr>
          <w:lang w:val="en-GB"/>
        </w:rPr>
        <w:t>process</w:t>
      </w:r>
      <w:r w:rsidR="000F4DB5">
        <w:rPr>
          <w:lang w:val="en-GB"/>
        </w:rPr>
        <w:t>.</w:t>
      </w:r>
      <w:r w:rsidR="008F569A">
        <w:rPr>
          <w:lang w:val="en-GB"/>
        </w:rPr>
        <w:t xml:space="preserve"> </w:t>
      </w:r>
      <w:r w:rsidR="00BB5282">
        <w:rPr>
          <w:lang w:val="en-GB"/>
        </w:rPr>
        <w:t>FTIR analysis revealed f</w:t>
      </w:r>
      <w:r w:rsidR="008F569A">
        <w:rPr>
          <w:lang w:val="en-GB"/>
        </w:rPr>
        <w:t>unctional groups such as carboxyl, amine, and phosphate playing a role in Pb(II)</w:t>
      </w:r>
      <w:r w:rsidR="00BB5282">
        <w:rPr>
          <w:lang w:val="en-GB"/>
        </w:rPr>
        <w:t xml:space="preserve"> biosorption</w:t>
      </w:r>
      <w:r w:rsidR="008F569A">
        <w:rPr>
          <w:lang w:val="en-GB"/>
        </w:rPr>
        <w:t>.</w:t>
      </w:r>
    </w:p>
    <w:p w14:paraId="101F2DC3" w14:textId="77777777" w:rsidR="00C03166" w:rsidRDefault="001A5632" w:rsidP="0030613C">
      <w:pPr>
        <w:pStyle w:val="CETBodytext"/>
        <w:rPr>
          <w:lang w:val="en-GB"/>
        </w:rPr>
      </w:pPr>
      <w:r>
        <w:rPr>
          <w:lang w:val="en-GB"/>
        </w:rPr>
        <w:t>Conclusions drawn from t</w:t>
      </w:r>
      <w:r w:rsidR="0030613C" w:rsidRPr="0030613C">
        <w:rPr>
          <w:lang w:val="en-GB"/>
        </w:rPr>
        <w:t xml:space="preserve">his </w:t>
      </w:r>
      <w:r>
        <w:rPr>
          <w:lang w:val="en-GB"/>
        </w:rPr>
        <w:t xml:space="preserve">study allow for future experimentation, modelling, and optimization of the biosorption mechanism in an </w:t>
      </w:r>
      <w:r w:rsidRPr="0030613C">
        <w:rPr>
          <w:lang w:val="en-GB"/>
        </w:rPr>
        <w:t xml:space="preserve">industrially obtained </w:t>
      </w:r>
      <w:r>
        <w:rPr>
          <w:lang w:val="en-GB"/>
        </w:rPr>
        <w:t>lead-precipitating</w:t>
      </w:r>
      <w:r w:rsidRPr="0030613C">
        <w:rPr>
          <w:lang w:val="en-GB"/>
        </w:rPr>
        <w:t xml:space="preserve"> consortium</w:t>
      </w:r>
      <w:r>
        <w:rPr>
          <w:lang w:val="en-GB"/>
        </w:rPr>
        <w:t>.</w:t>
      </w:r>
    </w:p>
    <w:p w14:paraId="172B5102" w14:textId="77777777" w:rsidR="00C03166" w:rsidRDefault="00C03166" w:rsidP="00C03166">
      <w:pPr>
        <w:pStyle w:val="CETHeading1"/>
      </w:pPr>
      <w:r>
        <w:t>Introduction</w:t>
      </w:r>
    </w:p>
    <w:p w14:paraId="73CF71EC" w14:textId="77777777" w:rsidR="00D76944" w:rsidRDefault="00D76944" w:rsidP="00D76944">
      <w:pPr>
        <w:pStyle w:val="CETBodytext"/>
        <w:rPr>
          <w:lang w:val="en-GB"/>
        </w:rPr>
      </w:pPr>
      <w:r>
        <w:rPr>
          <w:lang w:val="en-GB"/>
        </w:rPr>
        <w:t>Modern</w:t>
      </w:r>
      <w:r w:rsidRPr="001A4257">
        <w:rPr>
          <w:lang w:val="en-GB"/>
        </w:rPr>
        <w:t xml:space="preserve"> industrial activities, such as mining and battery manufacturing, continue to introduce lead pollutants into the environment.</w:t>
      </w:r>
      <w:r>
        <w:rPr>
          <w:lang w:val="en-GB"/>
        </w:rPr>
        <w:t xml:space="preserve"> </w:t>
      </w:r>
      <w:r w:rsidRPr="001A4257">
        <w:rPr>
          <w:lang w:val="en-GB"/>
        </w:rPr>
        <w:t xml:space="preserve">Lead is highly toxic and has been found to accumulate through different trophic levels of ecosystems </w:t>
      </w:r>
      <w:r w:rsidR="00747B8E" w:rsidRPr="00747B8E">
        <w:rPr>
          <w:noProof/>
          <w:lang w:val="en-GB"/>
        </w:rPr>
        <w:t>(Naik et al., 2013)</w:t>
      </w:r>
      <w:r w:rsidRPr="001A4257">
        <w:rPr>
          <w:rFonts w:ascii="Tahoma" w:hAnsi="Tahoma" w:cs="Tahoma"/>
          <w:lang w:val="en-GB"/>
        </w:rPr>
        <w:t>⁠</w:t>
      </w:r>
      <w:r w:rsidRPr="001A4257">
        <w:rPr>
          <w:lang w:val="en-GB"/>
        </w:rPr>
        <w:t>. It serves no biological purpose, but rather harms organisms directly by damaging cell structure or indirectly by impairing enzymes and substituting cationic nutrients.</w:t>
      </w:r>
    </w:p>
    <w:p w14:paraId="78524D69" w14:textId="77777777" w:rsidR="00D76944" w:rsidRDefault="00D76944" w:rsidP="00D76944">
      <w:pPr>
        <w:pStyle w:val="CETBodytext"/>
        <w:rPr>
          <w:lang w:val="en-GB"/>
        </w:rPr>
      </w:pPr>
      <w:r w:rsidRPr="001D5103">
        <w:rPr>
          <w:lang w:val="en-GB"/>
        </w:rPr>
        <w:t xml:space="preserve">Most conventional approaches to addressing lead pollution involve </w:t>
      </w:r>
      <w:r>
        <w:rPr>
          <w:lang w:val="en-GB"/>
        </w:rPr>
        <w:t xml:space="preserve">immobilizing </w:t>
      </w:r>
      <w:r w:rsidRPr="001D5103">
        <w:rPr>
          <w:lang w:val="en-GB"/>
        </w:rPr>
        <w:t>Pb(II) ions from waste water streams</w:t>
      </w:r>
      <w:r>
        <w:rPr>
          <w:lang w:val="en-GB"/>
        </w:rPr>
        <w:t xml:space="preserve"> or converting it to a less harmful state</w:t>
      </w:r>
      <w:r w:rsidRPr="001D5103">
        <w:rPr>
          <w:lang w:val="en-GB"/>
        </w:rPr>
        <w:t>, but require additional processing to confront the recovery of Pb(0).</w:t>
      </w:r>
      <w:r>
        <w:rPr>
          <w:lang w:val="en-GB"/>
        </w:rPr>
        <w:t xml:space="preserve"> These include adsorption, membrane filtration, electrodialysis, ion exchange, chemical </w:t>
      </w:r>
      <w:r w:rsidR="005D32A3">
        <w:rPr>
          <w:lang w:val="en-GB"/>
        </w:rPr>
        <w:t>precipitation,</w:t>
      </w:r>
      <w:r>
        <w:rPr>
          <w:lang w:val="en-GB"/>
        </w:rPr>
        <w:t xml:space="preserve"> and electrochemical treatment. Most of these techniques are favourable due to high selectivity, but are burdened with high operating</w:t>
      </w:r>
      <w:r w:rsidR="00377324">
        <w:rPr>
          <w:lang w:val="en-GB"/>
        </w:rPr>
        <w:t xml:space="preserve"> costs</w:t>
      </w:r>
      <w:r>
        <w:rPr>
          <w:lang w:val="en-GB"/>
        </w:rPr>
        <w:t xml:space="preserve"> and prove uneconomical for treating waste water with low concentrations of Pb(II) </w:t>
      </w:r>
      <w:r w:rsidR="005D32A3" w:rsidRPr="005D32A3">
        <w:rPr>
          <w:noProof/>
          <w:lang w:val="en-GB"/>
        </w:rPr>
        <w:t>(Fu and Wang, 2011)</w:t>
      </w:r>
      <w:r>
        <w:rPr>
          <w:lang w:val="en-GB"/>
        </w:rPr>
        <w:t xml:space="preserve">. Bioremediation, on the other hand, </w:t>
      </w:r>
      <w:r w:rsidR="008A558D">
        <w:rPr>
          <w:lang w:val="en-GB"/>
        </w:rPr>
        <w:t xml:space="preserve">has proven </w:t>
      </w:r>
      <w:r>
        <w:rPr>
          <w:lang w:val="en-GB"/>
        </w:rPr>
        <w:t>to be an attractive alternative</w:t>
      </w:r>
      <w:r w:rsidR="008A558D">
        <w:rPr>
          <w:lang w:val="en-GB"/>
        </w:rPr>
        <w:t xml:space="preserve"> treatment method</w:t>
      </w:r>
      <w:r>
        <w:rPr>
          <w:lang w:val="en-GB"/>
        </w:rPr>
        <w:t xml:space="preserve"> due to low operating cost and high remediation efficiency </w:t>
      </w:r>
      <w:r w:rsidR="00747B8E" w:rsidRPr="00747B8E">
        <w:rPr>
          <w:noProof/>
          <w:lang w:val="en-GB"/>
        </w:rPr>
        <w:t>(Kang et al., 2015)</w:t>
      </w:r>
      <w:r>
        <w:rPr>
          <w:lang w:val="en-GB"/>
        </w:rPr>
        <w:t>.</w:t>
      </w:r>
    </w:p>
    <w:p w14:paraId="0870BDE4" w14:textId="77777777" w:rsidR="001A56CD" w:rsidRDefault="00D76944" w:rsidP="00D76944">
      <w:pPr>
        <w:pStyle w:val="CETBodytext"/>
        <w:rPr>
          <w:lang w:val="en-GB"/>
        </w:rPr>
      </w:pPr>
      <w:r>
        <w:rPr>
          <w:lang w:val="en-GB"/>
        </w:rPr>
        <w:t xml:space="preserve">A microbial consortium sourced from lead contaminated soil at a battery recycling plant in South Africa has been shown to remove 90 % of Pb(II) from an 80 </w:t>
      </w:r>
      <w:r w:rsidR="005D32A3">
        <w:rPr>
          <w:lang w:val="en-GB"/>
        </w:rPr>
        <w:t>mg L</w:t>
      </w:r>
      <w:r w:rsidR="005D32A3">
        <w:rPr>
          <w:vertAlign w:val="superscript"/>
          <w:lang w:val="en-GB"/>
        </w:rPr>
        <w:t>-1</w:t>
      </w:r>
      <w:r>
        <w:rPr>
          <w:lang w:val="en-GB"/>
        </w:rPr>
        <w:t xml:space="preserve"> solution over a period of 7 days </w:t>
      </w:r>
      <w:r w:rsidR="00747B8E" w:rsidRPr="00747B8E">
        <w:rPr>
          <w:noProof/>
          <w:lang w:val="en-GB"/>
        </w:rPr>
        <w:t>(Brink et al., 2017)</w:t>
      </w:r>
      <w:r>
        <w:rPr>
          <w:lang w:val="en-GB"/>
        </w:rPr>
        <w:t xml:space="preserve">. </w:t>
      </w:r>
      <w:r>
        <w:t xml:space="preserve">It </w:t>
      </w:r>
      <w:r w:rsidR="008A558D">
        <w:t>was</w:t>
      </w:r>
      <w:r>
        <w:t xml:space="preserve"> shown that i</w:t>
      </w:r>
      <w:r>
        <w:rPr>
          <w:lang w:val="en-GB"/>
        </w:rPr>
        <w:t xml:space="preserve">onic lead in solution </w:t>
      </w:r>
      <w:r w:rsidR="008A558D">
        <w:rPr>
          <w:lang w:val="en-GB"/>
        </w:rPr>
        <w:t>was</w:t>
      </w:r>
      <w:r>
        <w:rPr>
          <w:lang w:val="en-GB"/>
        </w:rPr>
        <w:t xml:space="preserve"> </w:t>
      </w:r>
      <w:r w:rsidR="008A558D">
        <w:rPr>
          <w:lang w:val="en-GB"/>
        </w:rPr>
        <w:t>precipitated</w:t>
      </w:r>
      <w:r>
        <w:rPr>
          <w:lang w:val="en-GB"/>
        </w:rPr>
        <w:t xml:space="preserve"> </w:t>
      </w:r>
      <w:r w:rsidR="008A558D">
        <w:rPr>
          <w:lang w:val="en-GB"/>
        </w:rPr>
        <w:t>out as</w:t>
      </w:r>
      <w:r>
        <w:rPr>
          <w:lang w:val="en-GB"/>
        </w:rPr>
        <w:t xml:space="preserve"> PbS </w:t>
      </w:r>
      <w:r w:rsidR="008A558D">
        <w:rPr>
          <w:lang w:val="en-GB"/>
        </w:rPr>
        <w:t>and</w:t>
      </w:r>
      <w:r>
        <w:rPr>
          <w:lang w:val="en-GB"/>
        </w:rPr>
        <w:t xml:space="preserve"> elemental Pb by the microbes</w:t>
      </w:r>
      <w:r w:rsidR="00BB7FF4">
        <w:rPr>
          <w:lang w:val="en-GB"/>
        </w:rPr>
        <w:t>.</w:t>
      </w:r>
    </w:p>
    <w:p w14:paraId="68319A55" w14:textId="77777777" w:rsidR="00802C6C" w:rsidRDefault="00802C6C" w:rsidP="00D76944">
      <w:pPr>
        <w:pStyle w:val="CETBodytext"/>
        <w:rPr>
          <w:lang w:val="en-GB"/>
        </w:rPr>
      </w:pPr>
      <w:r>
        <w:rPr>
          <w:lang w:val="en-GB"/>
        </w:rPr>
        <w:t xml:space="preserve">Various </w:t>
      </w:r>
      <w:r w:rsidR="0031205D">
        <w:rPr>
          <w:lang w:val="en-GB"/>
        </w:rPr>
        <w:t>P</w:t>
      </w:r>
      <w:r>
        <w:rPr>
          <w:lang w:val="en-GB"/>
        </w:rPr>
        <w:t>b-resistance</w:t>
      </w:r>
      <w:r w:rsidR="0031205D">
        <w:rPr>
          <w:lang w:val="en-GB"/>
        </w:rPr>
        <w:t xml:space="preserve"> strategies</w:t>
      </w:r>
      <w:r>
        <w:rPr>
          <w:lang w:val="en-GB"/>
        </w:rPr>
        <w:t xml:space="preserve"> are present in </w:t>
      </w:r>
      <w:r w:rsidR="0031205D">
        <w:rPr>
          <w:lang w:val="en-GB"/>
        </w:rPr>
        <w:t xml:space="preserve">micro-organisms, including intracellular bioaccumulation, extracellular sequestration, surface biosorption, bioprecipitation, cell morphology alteration and metal-ligand complex formation </w:t>
      </w:r>
      <w:r w:rsidR="00747B8E" w:rsidRPr="00747B8E">
        <w:rPr>
          <w:noProof/>
          <w:lang w:val="en-GB"/>
        </w:rPr>
        <w:t>(Naik et al., 2013)</w:t>
      </w:r>
      <w:r w:rsidR="0031205D">
        <w:rPr>
          <w:lang w:val="en-GB"/>
        </w:rPr>
        <w:t xml:space="preserve">. SEM analyses on the battery recycling plant consortium indicated that surface Pb(II) bioprecipitation was the dominant lead removal mechanism </w:t>
      </w:r>
      <w:r w:rsidR="00747B8E" w:rsidRPr="00747B8E">
        <w:rPr>
          <w:noProof/>
          <w:lang w:val="en-GB"/>
        </w:rPr>
        <w:t>(Hörstmann et al., 2020)</w:t>
      </w:r>
      <w:r w:rsidR="0031205D">
        <w:rPr>
          <w:lang w:val="en-GB"/>
        </w:rPr>
        <w:t>.</w:t>
      </w:r>
    </w:p>
    <w:p w14:paraId="51FAAC29" w14:textId="77777777" w:rsidR="00577E71" w:rsidRDefault="00577E71" w:rsidP="00D76944">
      <w:pPr>
        <w:pStyle w:val="CETBodytext"/>
        <w:rPr>
          <w:lang w:val="en-GB"/>
        </w:rPr>
      </w:pPr>
      <w:r>
        <w:rPr>
          <w:lang w:val="en-GB"/>
        </w:rPr>
        <w:lastRenderedPageBreak/>
        <w:t xml:space="preserve">This study serves to investigate whether biosorption is responsible for </w:t>
      </w:r>
      <w:r w:rsidR="002B75AE">
        <w:rPr>
          <w:lang w:val="en-GB"/>
        </w:rPr>
        <w:t>an</w:t>
      </w:r>
      <w:r>
        <w:rPr>
          <w:lang w:val="en-GB"/>
        </w:rPr>
        <w:t xml:space="preserve"> initial phase of Pb(II) removal that acts as a vehicle for concentrating Pb(II) on the surface of the bacteria before bioprecipitation takes place.  </w:t>
      </w:r>
    </w:p>
    <w:p w14:paraId="18AB6F59" w14:textId="77777777" w:rsidR="00577E71" w:rsidRPr="005D32A3" w:rsidRDefault="00C32B78" w:rsidP="00D76944">
      <w:pPr>
        <w:pStyle w:val="CETBodytext"/>
        <w:rPr>
          <w:lang w:val="en-GB"/>
        </w:rPr>
      </w:pPr>
      <w:r>
        <w:rPr>
          <w:lang w:val="en-GB"/>
        </w:rPr>
        <w:t xml:space="preserve">The biosorption of heavy metals with bacteria has been widely studied. </w:t>
      </w:r>
      <w:r w:rsidR="00577E71">
        <w:rPr>
          <w:lang w:val="en-GB"/>
        </w:rPr>
        <w:t xml:space="preserve">Several species of bacteria have demonstrated significant Pb(II) biosorption, including </w:t>
      </w:r>
      <w:r w:rsidR="004F01D6" w:rsidRPr="003870E5">
        <w:rPr>
          <w:i/>
          <w:iCs/>
          <w:lang w:val="en-GB"/>
        </w:rPr>
        <w:t>Bacillus firmus</w:t>
      </w:r>
      <w:r w:rsidR="004F01D6">
        <w:rPr>
          <w:lang w:val="en-GB"/>
        </w:rPr>
        <w:t xml:space="preserve"> </w:t>
      </w:r>
      <w:r w:rsidR="004F01D6" w:rsidRPr="004F01D6">
        <w:rPr>
          <w:noProof/>
          <w:lang w:val="en-GB"/>
        </w:rPr>
        <w:t>(Salehizadeh and Shojaosadati, 2003)</w:t>
      </w:r>
      <w:r w:rsidR="004F01D6">
        <w:rPr>
          <w:lang w:val="en-GB"/>
        </w:rPr>
        <w:t xml:space="preserve">, </w:t>
      </w:r>
      <w:r w:rsidR="004F01D6" w:rsidRPr="003870E5">
        <w:rPr>
          <w:i/>
          <w:iCs/>
          <w:lang w:val="en-GB"/>
        </w:rPr>
        <w:t>Micrococcus luteu</w:t>
      </w:r>
      <w:r w:rsidR="004F01D6">
        <w:rPr>
          <w:lang w:val="en-GB"/>
        </w:rPr>
        <w:t xml:space="preserve">s </w:t>
      </w:r>
      <w:r w:rsidR="00747B8E" w:rsidRPr="00747B8E">
        <w:rPr>
          <w:noProof/>
          <w:lang w:val="en-GB"/>
        </w:rPr>
        <w:t>(Puyen et al., 2012)</w:t>
      </w:r>
      <w:r w:rsidR="004F01D6">
        <w:rPr>
          <w:lang w:val="en-GB"/>
        </w:rPr>
        <w:t xml:space="preserve">, </w:t>
      </w:r>
      <w:r w:rsidR="004F01D6" w:rsidRPr="003870E5">
        <w:rPr>
          <w:i/>
          <w:iCs/>
          <w:lang w:val="en-GB"/>
        </w:rPr>
        <w:t>Pseudomonas putida</w:t>
      </w:r>
      <w:r w:rsidR="004F01D6">
        <w:rPr>
          <w:lang w:val="en-GB"/>
        </w:rPr>
        <w:t xml:space="preserve"> </w:t>
      </w:r>
      <w:r w:rsidR="004F01D6" w:rsidRPr="004F01D6">
        <w:rPr>
          <w:noProof/>
          <w:lang w:val="en-GB"/>
        </w:rPr>
        <w:t>(Uslu and Tanyol, 2006)</w:t>
      </w:r>
      <w:r w:rsidR="004F01D6">
        <w:rPr>
          <w:lang w:val="en-GB"/>
        </w:rPr>
        <w:t xml:space="preserve">, </w:t>
      </w:r>
      <w:r w:rsidR="004F01D6" w:rsidRPr="003870E5">
        <w:rPr>
          <w:i/>
          <w:iCs/>
          <w:lang w:val="en-GB"/>
        </w:rPr>
        <w:t>Pseudomonas aeruginosa</w:t>
      </w:r>
      <w:r w:rsidR="004F01D6">
        <w:rPr>
          <w:lang w:val="en-GB"/>
        </w:rPr>
        <w:t xml:space="preserve"> </w:t>
      </w:r>
      <w:r w:rsidR="00747B8E" w:rsidRPr="00747B8E">
        <w:rPr>
          <w:noProof/>
          <w:lang w:val="en-GB"/>
        </w:rPr>
        <w:t>(Chang et al., 1997)</w:t>
      </w:r>
      <w:r w:rsidR="004F01D6">
        <w:rPr>
          <w:lang w:val="en-GB"/>
        </w:rPr>
        <w:t xml:space="preserve">, and </w:t>
      </w:r>
      <w:r w:rsidR="004F01D6" w:rsidRPr="003870E5">
        <w:rPr>
          <w:i/>
          <w:iCs/>
          <w:lang w:val="en-GB"/>
        </w:rPr>
        <w:t>Streptomyces rimosus</w:t>
      </w:r>
      <w:r w:rsidR="004F01D6">
        <w:rPr>
          <w:lang w:val="en-GB"/>
        </w:rPr>
        <w:t xml:space="preserve"> </w:t>
      </w:r>
      <w:r w:rsidR="00747B8E" w:rsidRPr="00747B8E">
        <w:rPr>
          <w:noProof/>
          <w:lang w:val="en-GB"/>
        </w:rPr>
        <w:t>(Selatnia et al., 2004)</w:t>
      </w:r>
      <w:r w:rsidR="004F01D6">
        <w:rPr>
          <w:lang w:val="en-GB"/>
        </w:rPr>
        <w:t>.</w:t>
      </w:r>
      <w:r w:rsidR="003870E5">
        <w:rPr>
          <w:lang w:val="en-GB"/>
        </w:rPr>
        <w:t xml:space="preserve"> The chemical composition of bacteria surfaces for both Gram-positive and Gram-negative bacteria are</w:t>
      </w:r>
      <w:r w:rsidR="000D534E">
        <w:rPr>
          <w:lang w:val="en-GB"/>
        </w:rPr>
        <w:t xml:space="preserve"> rich in negatively charged functional groups that result in an overall negative surface charge</w:t>
      </w:r>
      <w:r w:rsidR="008A558D">
        <w:rPr>
          <w:lang w:val="en-GB"/>
        </w:rPr>
        <w:t xml:space="preserve"> and</w:t>
      </w:r>
      <w:r w:rsidR="000D534E">
        <w:rPr>
          <w:lang w:val="en-GB"/>
        </w:rPr>
        <w:t xml:space="preserve"> facilitate the attraction of positively charged metal cations</w:t>
      </w:r>
      <w:r w:rsidR="008A558D">
        <w:rPr>
          <w:lang w:val="en-GB"/>
        </w:rPr>
        <w:t xml:space="preserve"> like ionic lead</w:t>
      </w:r>
      <w:r w:rsidR="000D534E">
        <w:rPr>
          <w:lang w:val="en-GB"/>
        </w:rPr>
        <w:t xml:space="preserve"> </w:t>
      </w:r>
      <w:r w:rsidR="000D534E" w:rsidRPr="000D534E">
        <w:rPr>
          <w:noProof/>
          <w:lang w:val="en-GB"/>
        </w:rPr>
        <w:t>(Vijayaraghavan and Yun, 2008)</w:t>
      </w:r>
      <w:r w:rsidR="000D534E">
        <w:rPr>
          <w:lang w:val="en-GB"/>
        </w:rPr>
        <w:t xml:space="preserve">. </w:t>
      </w:r>
      <w:r w:rsidR="00DD299C">
        <w:rPr>
          <w:lang w:val="en-GB"/>
        </w:rPr>
        <w:t xml:space="preserve">These functional groups also allow for chemisorption to take place, where hydrogen ions are exchanged for Pb(II) ions </w:t>
      </w:r>
      <w:r w:rsidR="00747B8E" w:rsidRPr="00747B8E">
        <w:rPr>
          <w:noProof/>
          <w:lang w:val="en-GB"/>
        </w:rPr>
        <w:t>(Lu et al., 2012)</w:t>
      </w:r>
      <w:r w:rsidR="00DD299C">
        <w:rPr>
          <w:lang w:val="en-GB"/>
        </w:rPr>
        <w:t>.</w:t>
      </w:r>
      <w:r w:rsidR="002E154D">
        <w:rPr>
          <w:lang w:val="en-GB"/>
        </w:rPr>
        <w:t xml:space="preserve"> Chemisorption not only prevents lead from entering cells, but allows for the concentration of lead to be used as a terminal electron acceptor in bioprecipitation </w:t>
      </w:r>
      <w:r w:rsidR="00747B8E" w:rsidRPr="00747B8E">
        <w:rPr>
          <w:noProof/>
          <w:lang w:val="en-GB"/>
        </w:rPr>
        <w:t>(Haas et al., 2001)</w:t>
      </w:r>
      <w:r w:rsidR="002E154D">
        <w:rPr>
          <w:lang w:val="en-GB"/>
        </w:rPr>
        <w:t>.</w:t>
      </w:r>
      <w:r w:rsidR="000F4DB5">
        <w:rPr>
          <w:lang w:val="en-GB"/>
        </w:rPr>
        <w:t xml:space="preserve"> </w:t>
      </w:r>
    </w:p>
    <w:p w14:paraId="03DB63A1" w14:textId="77777777" w:rsidR="00600535" w:rsidRDefault="00AE12CF" w:rsidP="00600535">
      <w:pPr>
        <w:pStyle w:val="CETHeading1"/>
        <w:tabs>
          <w:tab w:val="clear" w:pos="360"/>
          <w:tab w:val="right" w:pos="7100"/>
        </w:tabs>
        <w:jc w:val="both"/>
        <w:rPr>
          <w:lang w:val="en-GB"/>
        </w:rPr>
      </w:pPr>
      <w:r>
        <w:rPr>
          <w:lang w:val="en-GB"/>
        </w:rPr>
        <w:t>Materials and methods</w:t>
      </w:r>
    </w:p>
    <w:p w14:paraId="1289D71B" w14:textId="77777777" w:rsidR="00C2611D" w:rsidRPr="00C2611D" w:rsidRDefault="00C2611D" w:rsidP="00C2611D">
      <w:pPr>
        <w:pStyle w:val="CETheadingx"/>
      </w:pPr>
      <w:r>
        <w:t>Material preparation</w:t>
      </w:r>
    </w:p>
    <w:p w14:paraId="4D0DE273" w14:textId="025CB478" w:rsidR="00AE12CF" w:rsidRPr="00413CD4" w:rsidRDefault="00AE12CF" w:rsidP="00AE12CF">
      <w:pPr>
        <w:pStyle w:val="CETBodytext"/>
        <w:rPr>
          <w:rFonts w:eastAsia="Calibri"/>
        </w:rPr>
      </w:pPr>
      <w:r w:rsidRPr="00413CD4">
        <w:rPr>
          <w:rFonts w:eastAsia="Calibri"/>
        </w:rPr>
        <w:t>Cultures were prepared in sterile batch reactors from 0.2 mL</w:t>
      </w:r>
      <w:r w:rsidR="00C2611D" w:rsidRPr="00413CD4">
        <w:rPr>
          <w:rFonts w:eastAsia="Calibri"/>
        </w:rPr>
        <w:t xml:space="preserve"> of</w:t>
      </w:r>
      <w:r w:rsidRPr="00413CD4">
        <w:rPr>
          <w:rFonts w:eastAsia="Calibri"/>
        </w:rPr>
        <w:t xml:space="preserve"> </w:t>
      </w:r>
      <w:r w:rsidR="00400889" w:rsidRPr="00413CD4">
        <w:rPr>
          <w:rFonts w:eastAsia="Calibri"/>
        </w:rPr>
        <w:t xml:space="preserve">battery recycling plant </w:t>
      </w:r>
      <w:r w:rsidRPr="00413CD4">
        <w:rPr>
          <w:rFonts w:eastAsia="Calibri"/>
        </w:rPr>
        <w:t>consortium</w:t>
      </w:r>
      <w:r w:rsidR="003E1BF0" w:rsidRPr="00413CD4">
        <w:rPr>
          <w:rFonts w:eastAsia="Calibri"/>
        </w:rPr>
        <w:t xml:space="preserve"> frozen at -</w:t>
      </w:r>
      <w:r w:rsidR="00250275" w:rsidRPr="00413CD4">
        <w:rPr>
          <w:rFonts w:eastAsia="Calibri"/>
        </w:rPr>
        <w:t xml:space="preserve"> </w:t>
      </w:r>
      <w:r w:rsidR="003E1BF0" w:rsidRPr="00413CD4">
        <w:rPr>
          <w:rFonts w:eastAsia="Calibri"/>
        </w:rPr>
        <w:t xml:space="preserve">60 </w:t>
      </w:r>
      <w:r w:rsidR="003E1BF0" w:rsidRPr="00413CD4">
        <w:rPr>
          <w:rFonts w:ascii="Calibri" w:eastAsia="Calibri" w:hAnsi="Calibri" w:cs="Calibri"/>
        </w:rPr>
        <w:t>°</w:t>
      </w:r>
      <w:r w:rsidR="003E1BF0" w:rsidRPr="00413CD4">
        <w:rPr>
          <w:rFonts w:eastAsia="Calibri"/>
        </w:rPr>
        <w:t>C</w:t>
      </w:r>
      <w:r w:rsidRPr="00413CD4">
        <w:rPr>
          <w:rFonts w:eastAsia="Calibri"/>
        </w:rPr>
        <w:t>. The 100 mL growth suspension contained 20 g</w:t>
      </w:r>
      <w:r w:rsidR="005D32A3" w:rsidRPr="00413CD4">
        <w:rPr>
          <w:rFonts w:eastAsia="Calibri"/>
        </w:rPr>
        <w:t xml:space="preserve"> </w:t>
      </w:r>
      <w:r w:rsidRPr="00413CD4">
        <w:rPr>
          <w:rFonts w:eastAsia="Calibri"/>
        </w:rPr>
        <w:t>L</w:t>
      </w:r>
      <w:r w:rsidRPr="00413CD4">
        <w:rPr>
          <w:rFonts w:eastAsia="Calibri"/>
          <w:vertAlign w:val="superscript"/>
        </w:rPr>
        <w:t>-1</w:t>
      </w:r>
      <w:r w:rsidRPr="00413CD4">
        <w:rPr>
          <w:rFonts w:eastAsia="Calibri"/>
        </w:rPr>
        <w:t xml:space="preserve"> tryptone, 10 g L</w:t>
      </w:r>
      <w:r w:rsidRPr="00413CD4">
        <w:rPr>
          <w:rFonts w:eastAsia="Calibri"/>
          <w:vertAlign w:val="superscript"/>
        </w:rPr>
        <w:t>-1</w:t>
      </w:r>
      <w:r w:rsidRPr="00413CD4">
        <w:rPr>
          <w:rFonts w:eastAsia="Calibri"/>
        </w:rPr>
        <w:t xml:space="preserve"> yeast extract, and 1</w:t>
      </w:r>
      <w:r w:rsidRPr="00413CD4">
        <w:rPr>
          <w:rFonts w:ascii="erewMI" w:eastAsia="Calibri" w:hAnsi="erewMI" w:cs="erewMI"/>
        </w:rPr>
        <w:t>.</w:t>
      </w:r>
      <w:r w:rsidRPr="00413CD4">
        <w:rPr>
          <w:rFonts w:eastAsia="Calibri"/>
        </w:rPr>
        <w:t>0 g</w:t>
      </w:r>
      <w:r w:rsidR="005D32A3" w:rsidRPr="00413CD4">
        <w:rPr>
          <w:rFonts w:eastAsia="Calibri"/>
        </w:rPr>
        <w:t xml:space="preserve"> </w:t>
      </w:r>
      <w:r w:rsidRPr="00413CD4">
        <w:rPr>
          <w:rFonts w:eastAsia="Calibri"/>
        </w:rPr>
        <w:t>L</w:t>
      </w:r>
      <w:r w:rsidRPr="00413CD4">
        <w:rPr>
          <w:rFonts w:eastAsia="Calibri"/>
          <w:vertAlign w:val="superscript"/>
        </w:rPr>
        <w:t>-1</w:t>
      </w:r>
      <w:r w:rsidRPr="00413CD4">
        <w:rPr>
          <w:rFonts w:eastAsia="Calibri"/>
        </w:rPr>
        <w:t xml:space="preserve"> NaCl </w:t>
      </w:r>
      <w:r w:rsidR="00747B8E" w:rsidRPr="00413CD4">
        <w:rPr>
          <w:rFonts w:eastAsia="Calibri"/>
          <w:noProof/>
        </w:rPr>
        <w:t>(Hörstmann et al., 2020)</w:t>
      </w:r>
      <w:r w:rsidR="00C2611D" w:rsidRPr="00413CD4">
        <w:rPr>
          <w:rFonts w:eastAsia="Calibri"/>
        </w:rPr>
        <w:t xml:space="preserve">. </w:t>
      </w:r>
      <w:r w:rsidRPr="00413CD4">
        <w:rPr>
          <w:rFonts w:eastAsia="Calibri"/>
        </w:rPr>
        <w:t>4</w:t>
      </w:r>
      <w:r w:rsidR="002921B0">
        <w:rPr>
          <w:rFonts w:eastAsia="Calibri"/>
        </w:rPr>
        <w:t>1</w:t>
      </w:r>
      <w:r w:rsidRPr="00413CD4">
        <w:rPr>
          <w:rFonts w:eastAsia="Calibri"/>
        </w:rPr>
        <w:t xml:space="preserve"> </w:t>
      </w:r>
      <w:r w:rsidR="00A13821">
        <w:rPr>
          <w:rFonts w:eastAsia="Calibri"/>
        </w:rPr>
        <w:t>m</w:t>
      </w:r>
      <w:r w:rsidR="005D32A3" w:rsidRPr="00413CD4">
        <w:rPr>
          <w:rFonts w:eastAsia="Calibri"/>
        </w:rPr>
        <w:t>g L</w:t>
      </w:r>
      <w:r w:rsidRPr="00413CD4">
        <w:rPr>
          <w:rFonts w:eastAsia="Calibri"/>
          <w:vertAlign w:val="superscript"/>
        </w:rPr>
        <w:t xml:space="preserve">-1 </w:t>
      </w:r>
      <w:r w:rsidRPr="00413CD4">
        <w:rPr>
          <w:rFonts w:eastAsia="Calibri"/>
        </w:rPr>
        <w:t>NaNO</w:t>
      </w:r>
      <w:r w:rsidRPr="00413CD4">
        <w:rPr>
          <w:rFonts w:eastAsia="Calibri"/>
          <w:vertAlign w:val="subscript"/>
        </w:rPr>
        <w:t>3</w:t>
      </w:r>
      <w:r w:rsidRPr="00413CD4">
        <w:rPr>
          <w:rFonts w:eastAsia="Calibri"/>
        </w:rPr>
        <w:t xml:space="preserve"> was added to ensure </w:t>
      </w:r>
      <w:r w:rsidR="008A558D" w:rsidRPr="00413CD4">
        <w:rPr>
          <w:rFonts w:eastAsia="Calibri"/>
        </w:rPr>
        <w:t>nitrates were present equivalent to the concentration provided by</w:t>
      </w:r>
      <w:r w:rsidR="00250275" w:rsidRPr="00413CD4">
        <w:rPr>
          <w:rFonts w:eastAsia="Calibri"/>
        </w:rPr>
        <w:t xml:space="preserve"> 80 mg L</w:t>
      </w:r>
      <w:r w:rsidR="00250275" w:rsidRPr="00413CD4">
        <w:rPr>
          <w:rFonts w:eastAsia="Calibri"/>
          <w:vertAlign w:val="superscript"/>
        </w:rPr>
        <w:t>-1</w:t>
      </w:r>
      <w:r w:rsidRPr="00413CD4">
        <w:rPr>
          <w:rFonts w:eastAsia="Calibri"/>
        </w:rPr>
        <w:t xml:space="preserve"> Pb(NO</w:t>
      </w:r>
      <w:r w:rsidRPr="00413CD4">
        <w:rPr>
          <w:rFonts w:eastAsia="Calibri"/>
          <w:vertAlign w:val="subscript"/>
        </w:rPr>
        <w:t>3</w:t>
      </w:r>
      <w:r w:rsidRPr="00413CD4">
        <w:rPr>
          <w:rFonts w:eastAsia="Calibri"/>
        </w:rPr>
        <w:t>)</w:t>
      </w:r>
      <w:r w:rsidRPr="00413CD4">
        <w:rPr>
          <w:rFonts w:eastAsia="Calibri"/>
          <w:vertAlign w:val="subscript"/>
        </w:rPr>
        <w:t>2</w:t>
      </w:r>
      <w:r w:rsidR="00C2611D" w:rsidRPr="00413CD4">
        <w:rPr>
          <w:rFonts w:eastAsia="Calibri"/>
        </w:rPr>
        <w:t xml:space="preserve">. </w:t>
      </w:r>
      <w:r w:rsidRPr="00413CD4">
        <w:rPr>
          <w:rFonts w:eastAsia="Calibri"/>
        </w:rPr>
        <w:t>Batch reactors were purged with nitrogen for 3 min to ensure anaerobic conditions</w:t>
      </w:r>
      <w:r w:rsidR="00C2611D" w:rsidRPr="00413CD4">
        <w:rPr>
          <w:rFonts w:eastAsia="Calibri"/>
        </w:rPr>
        <w:t xml:space="preserve"> </w:t>
      </w:r>
      <w:r w:rsidR="00747B8E" w:rsidRPr="00413CD4">
        <w:rPr>
          <w:rFonts w:eastAsia="Calibri"/>
          <w:noProof/>
        </w:rPr>
        <w:t>(Peens et al., 2018)</w:t>
      </w:r>
      <w:r w:rsidRPr="00413CD4">
        <w:rPr>
          <w:rFonts w:eastAsia="Calibri"/>
        </w:rPr>
        <w:t xml:space="preserve"> and left to grow in a shaker-incubator for 24 h, 35 </w:t>
      </w:r>
      <w:r w:rsidRPr="00413CD4">
        <w:rPr>
          <w:rFonts w:ascii="Calibri" w:eastAsia="Calibri" w:hAnsi="Calibri" w:cs="Calibri"/>
        </w:rPr>
        <w:t>°</w:t>
      </w:r>
      <w:r w:rsidRPr="00413CD4">
        <w:rPr>
          <w:rFonts w:eastAsia="Calibri"/>
        </w:rPr>
        <w:t>C and 120 rpm. To successfully inhibit the microbial respiratory chain and ensure Pb(II) removal through biosorption alone, the culture was exposed to 50</w:t>
      </w:r>
      <w:r w:rsidR="00C2611D" w:rsidRPr="00413CD4">
        <w:rPr>
          <w:rFonts w:eastAsia="Calibri"/>
        </w:rPr>
        <w:t xml:space="preserve"> </w:t>
      </w:r>
      <w:r w:rsidRPr="00413CD4">
        <w:rPr>
          <w:rFonts w:eastAsia="Calibri"/>
        </w:rPr>
        <w:t>mM of NaN</w:t>
      </w:r>
      <w:r w:rsidRPr="00413CD4">
        <w:rPr>
          <w:rFonts w:eastAsia="Calibri"/>
          <w:vertAlign w:val="subscript"/>
        </w:rPr>
        <w:t>3</w:t>
      </w:r>
      <w:r w:rsidRPr="00413CD4">
        <w:rPr>
          <w:rFonts w:eastAsia="Calibri"/>
        </w:rPr>
        <w:t xml:space="preserve"> </w:t>
      </w:r>
      <w:r w:rsidR="00747B8E" w:rsidRPr="00413CD4">
        <w:rPr>
          <w:rFonts w:eastAsia="Calibri"/>
          <w:noProof/>
        </w:rPr>
        <w:t>(Cabrol et al., 2017)</w:t>
      </w:r>
      <w:r w:rsidR="00C2611D" w:rsidRPr="00413CD4">
        <w:rPr>
          <w:rFonts w:eastAsia="Calibri"/>
        </w:rPr>
        <w:t xml:space="preserve"> </w:t>
      </w:r>
      <w:r w:rsidRPr="00413CD4">
        <w:rPr>
          <w:rFonts w:eastAsia="Calibri"/>
        </w:rPr>
        <w:t>for 3 h</w:t>
      </w:r>
      <w:r w:rsidR="00C2611D" w:rsidRPr="00413CD4">
        <w:rPr>
          <w:rFonts w:eastAsia="Calibri"/>
        </w:rPr>
        <w:t xml:space="preserve"> after the 24 h growth period.</w:t>
      </w:r>
    </w:p>
    <w:p w14:paraId="28B54619" w14:textId="77777777" w:rsidR="00C03166" w:rsidRPr="00413CD4" w:rsidRDefault="00C03166" w:rsidP="00C03166">
      <w:pPr>
        <w:pStyle w:val="CETheadingx"/>
        <w:rPr>
          <w:rFonts w:eastAsia="Calibri"/>
        </w:rPr>
      </w:pPr>
      <w:r w:rsidRPr="00413CD4">
        <w:rPr>
          <w:rFonts w:eastAsia="Calibri"/>
        </w:rPr>
        <w:t>Metabolic activity measurement</w:t>
      </w:r>
    </w:p>
    <w:p w14:paraId="4D4EEB46" w14:textId="77777777" w:rsidR="00C03166" w:rsidRPr="00413CD4" w:rsidRDefault="00C03166" w:rsidP="00A46C0A">
      <w:pPr>
        <w:pStyle w:val="CETBodytext"/>
        <w:rPr>
          <w:rFonts w:eastAsia="Calibri"/>
        </w:rPr>
      </w:pPr>
      <w:r w:rsidRPr="00413CD4">
        <w:rPr>
          <w:rFonts w:eastAsia="Calibri"/>
        </w:rPr>
        <w:t xml:space="preserve">Metabolic activity  was measured with 3-(4,5-dimethylthiazol-2-yl)-2,5-diphenyl tetrazolium bromide (MTT). MTT is a yellow dye which is reduced to formazan crystals by the dehydrogenase system of viable gram-negative bacterial cells. MTT solution was prepared using 5 </w:t>
      </w:r>
      <w:r w:rsidR="005D32A3" w:rsidRPr="00413CD4">
        <w:rPr>
          <w:rFonts w:eastAsia="Calibri"/>
        </w:rPr>
        <w:t>g L</w:t>
      </w:r>
      <w:r w:rsidRPr="00413CD4">
        <w:rPr>
          <w:rFonts w:eastAsia="Calibri"/>
          <w:vertAlign w:val="superscript"/>
        </w:rPr>
        <w:t>-1</w:t>
      </w:r>
      <w:r w:rsidRPr="00413CD4">
        <w:rPr>
          <w:rFonts w:eastAsia="Calibri"/>
        </w:rPr>
        <w:t xml:space="preserve"> MTT in ultrapure water. For metabolic activity readings, filtered (0</w:t>
      </w:r>
      <w:r w:rsidRPr="00413CD4">
        <w:rPr>
          <w:rFonts w:ascii="erewMI" w:eastAsia="Calibri" w:hAnsi="erewMI" w:cs="erewMI"/>
        </w:rPr>
        <w:t>.</w:t>
      </w:r>
      <w:r w:rsidRPr="00413CD4">
        <w:rPr>
          <w:rFonts w:eastAsia="Calibri"/>
        </w:rPr>
        <w:t>45 µm) and unfiltered samples were diluted 4 times and mixed with MTT to form a 10% MTT solution. The solution was incubated for an hour, after which formazan crystals were dissolved by dimethyl sulfoxide</w:t>
      </w:r>
      <w:r w:rsidR="00A46C0A" w:rsidRPr="00413CD4">
        <w:rPr>
          <w:rFonts w:eastAsia="Calibri"/>
        </w:rPr>
        <w:t xml:space="preserve">. Light absorption measurements at 550 nm were performed to infer metabolic activity differences between filtered and unfiltered samples </w:t>
      </w:r>
      <w:r w:rsidRPr="00413CD4">
        <w:rPr>
          <w:rFonts w:eastAsia="Calibri"/>
          <w:noProof/>
        </w:rPr>
        <w:t>(Peens, 2018)</w:t>
      </w:r>
      <w:r w:rsidRPr="00413CD4">
        <w:rPr>
          <w:rFonts w:eastAsia="Calibri"/>
        </w:rPr>
        <w:t>.</w:t>
      </w:r>
    </w:p>
    <w:p w14:paraId="67A4AD20" w14:textId="77777777" w:rsidR="00AE12CF" w:rsidRPr="00AE12CF" w:rsidRDefault="00AE12CF" w:rsidP="00AE12CF">
      <w:pPr>
        <w:pStyle w:val="CETheadingx"/>
      </w:pPr>
      <w:r>
        <w:t>FTIR</w:t>
      </w:r>
      <w:r w:rsidR="005E7E54">
        <w:t xml:space="preserve"> analysis</w:t>
      </w:r>
    </w:p>
    <w:p w14:paraId="33929684" w14:textId="2D5B2D5D" w:rsidR="00C03166" w:rsidRPr="00413CD4" w:rsidRDefault="00AE12CF" w:rsidP="0069260D">
      <w:pPr>
        <w:pStyle w:val="CETBodytext"/>
        <w:rPr>
          <w:rFonts w:eastAsia="Calibri"/>
        </w:rPr>
      </w:pPr>
      <w:r w:rsidRPr="00413CD4">
        <w:rPr>
          <w:rFonts w:eastAsia="Calibri"/>
        </w:rPr>
        <w:t xml:space="preserve">Fourier transform infrared (FTIR) spectra of the </w:t>
      </w:r>
      <w:r w:rsidR="0069260D">
        <w:t>consortium</w:t>
      </w:r>
      <w:r w:rsidR="007E5641">
        <w:t xml:space="preserve"> were measured</w:t>
      </w:r>
      <w:r w:rsidR="00A13821">
        <w:t xml:space="preserve"> after three consecutive processes. The first measurement</w:t>
      </w:r>
      <w:r w:rsidR="0069260D">
        <w:t xml:space="preserve"> </w:t>
      </w:r>
      <w:r w:rsidR="00A13821">
        <w:t xml:space="preserve">was recorded </w:t>
      </w:r>
      <w:r w:rsidR="0069260D">
        <w:t>after</w:t>
      </w:r>
      <w:r w:rsidR="007E5641">
        <w:t xml:space="preserve"> </w:t>
      </w:r>
      <w:r w:rsidR="00A13821">
        <w:t>a</w:t>
      </w:r>
      <w:r w:rsidR="0069260D">
        <w:t xml:space="preserve"> 24 h growth period</w:t>
      </w:r>
      <w:r w:rsidR="00A13821">
        <w:t>. The second measurement was recorded</w:t>
      </w:r>
      <w:r w:rsidR="0069260D">
        <w:t xml:space="preserve"> </w:t>
      </w:r>
      <w:r w:rsidR="00A13821">
        <w:t>following</w:t>
      </w:r>
      <w:r w:rsidR="0069260D">
        <w:t xml:space="preserve"> 3 h </w:t>
      </w:r>
      <w:r w:rsidR="00A13821">
        <w:t>sterilization of the consortium</w:t>
      </w:r>
      <w:r w:rsidR="0069260D">
        <w:t xml:space="preserve"> </w:t>
      </w:r>
      <w:r w:rsidR="00A13821">
        <w:t>with</w:t>
      </w:r>
      <w:r w:rsidR="0069260D">
        <w:t xml:space="preserve"> 50 m</w:t>
      </w:r>
      <w:r w:rsidR="00ED54E9">
        <w:t>M</w:t>
      </w:r>
      <w:r w:rsidR="0069260D">
        <w:t xml:space="preserve"> NaN</w:t>
      </w:r>
      <w:r w:rsidR="0069260D">
        <w:rPr>
          <w:vertAlign w:val="subscript"/>
        </w:rPr>
        <w:t>3</w:t>
      </w:r>
      <w:r w:rsidR="00A13821">
        <w:t>. Finally, the third measurement was taken a</w:t>
      </w:r>
      <w:r w:rsidR="0069260D">
        <w:t xml:space="preserve">fter exposure </w:t>
      </w:r>
      <w:r w:rsidR="00A13821">
        <w:t>of the sterilized consortium to</w:t>
      </w:r>
      <w:r w:rsidR="0069260D">
        <w:t xml:space="preserve"> 200 mg L</w:t>
      </w:r>
      <w:r w:rsidR="0069260D">
        <w:rPr>
          <w:vertAlign w:val="superscript"/>
        </w:rPr>
        <w:t>-1</w:t>
      </w:r>
      <w:r w:rsidR="0069260D">
        <w:t xml:space="preserve"> Pb(NO</w:t>
      </w:r>
      <w:r w:rsidR="0069260D">
        <w:rPr>
          <w:vertAlign w:val="subscript"/>
        </w:rPr>
        <w:t>3</w:t>
      </w:r>
      <w:r w:rsidR="0069260D">
        <w:t>)</w:t>
      </w:r>
      <w:r w:rsidR="0069260D">
        <w:rPr>
          <w:vertAlign w:val="subscript"/>
        </w:rPr>
        <w:t>2</w:t>
      </w:r>
      <w:r w:rsidR="00C32B78">
        <w:rPr>
          <w:vertAlign w:val="subscript"/>
        </w:rPr>
        <w:t>.</w:t>
      </w:r>
      <w:r w:rsidR="0069260D">
        <w:rPr>
          <w:vertAlign w:val="subscript"/>
        </w:rPr>
        <w:t xml:space="preserve"> </w:t>
      </w:r>
      <w:r w:rsidR="00C32B78">
        <w:t xml:space="preserve">Spectra </w:t>
      </w:r>
      <w:r w:rsidRPr="00413CD4">
        <w:rPr>
          <w:rFonts w:eastAsia="Calibri"/>
        </w:rPr>
        <w:t>were recorded on a Perkin Elmer Spectrum 2000GX FTIR spectrometer using an attenuated total reflection (ATR) attachment.</w:t>
      </w:r>
      <w:r w:rsidR="00D62DFD" w:rsidRPr="00413CD4">
        <w:rPr>
          <w:rFonts w:eastAsia="Calibri"/>
        </w:rPr>
        <w:t xml:space="preserve"> </w:t>
      </w:r>
      <w:r w:rsidRPr="00413CD4">
        <w:rPr>
          <w:rFonts w:eastAsia="Calibri"/>
        </w:rPr>
        <w:t>All FTIR spectra were recorded at a resolution of 2 cm</w:t>
      </w:r>
      <w:r w:rsidRPr="00413CD4">
        <w:rPr>
          <w:rFonts w:eastAsia="Calibri"/>
          <w:vertAlign w:val="superscript"/>
        </w:rPr>
        <w:t>-1</w:t>
      </w:r>
      <w:r w:rsidRPr="00413CD4">
        <w:rPr>
          <w:rFonts w:eastAsia="Calibri"/>
        </w:rPr>
        <w:t xml:space="preserve"> for 30 scans from 4000 to 550 cm</w:t>
      </w:r>
      <w:r w:rsidRPr="00413CD4">
        <w:rPr>
          <w:rFonts w:eastAsia="Calibri"/>
          <w:vertAlign w:val="superscript"/>
        </w:rPr>
        <w:t xml:space="preserve">-1 </w:t>
      </w:r>
      <w:r w:rsidRPr="00413CD4">
        <w:rPr>
          <w:rFonts w:eastAsia="Calibri"/>
        </w:rPr>
        <w:t>and represent the average of 3</w:t>
      </w:r>
      <w:r w:rsidR="0069260D" w:rsidRPr="00413CD4">
        <w:rPr>
          <w:rFonts w:eastAsia="Calibri"/>
        </w:rPr>
        <w:t>0</w:t>
      </w:r>
      <w:r w:rsidRPr="00413CD4">
        <w:rPr>
          <w:rFonts w:eastAsia="Calibri"/>
        </w:rPr>
        <w:t xml:space="preserve"> scans.</w:t>
      </w:r>
      <w:r w:rsidR="0069260D" w:rsidRPr="00413CD4">
        <w:rPr>
          <w:rFonts w:eastAsia="Calibri"/>
        </w:rPr>
        <w:t xml:space="preserve"> </w:t>
      </w:r>
    </w:p>
    <w:p w14:paraId="19A52364" w14:textId="77777777" w:rsidR="00C03166" w:rsidRPr="00413CD4" w:rsidRDefault="00424567" w:rsidP="00C03166">
      <w:pPr>
        <w:pStyle w:val="CETheadingx"/>
        <w:rPr>
          <w:rFonts w:eastAsia="Calibri"/>
        </w:rPr>
      </w:pPr>
      <w:r w:rsidRPr="00413CD4">
        <w:rPr>
          <w:rFonts w:eastAsia="Calibri"/>
        </w:rPr>
        <w:t>Lead removal</w:t>
      </w:r>
      <w:r w:rsidR="00C03166" w:rsidRPr="00413CD4">
        <w:rPr>
          <w:rFonts w:eastAsia="Calibri"/>
        </w:rPr>
        <w:t xml:space="preserve"> experiments</w:t>
      </w:r>
    </w:p>
    <w:p w14:paraId="6F4B7A35" w14:textId="77777777" w:rsidR="00250275" w:rsidRDefault="00B7368B" w:rsidP="00C03166">
      <w:pPr>
        <w:pStyle w:val="CETBodytext"/>
        <w:rPr>
          <w:lang w:val="en-GB"/>
        </w:rPr>
      </w:pPr>
      <w:r w:rsidRPr="00413CD4">
        <w:rPr>
          <w:rFonts w:eastAsia="Calibri"/>
        </w:rPr>
        <w:t>Sterilized reactors containing 100 mL of ultrapure water with</w:t>
      </w:r>
      <w:r w:rsidR="00250275">
        <w:rPr>
          <w:lang w:val="en-GB"/>
        </w:rPr>
        <w:t xml:space="preserve"> 1.0 g L</w:t>
      </w:r>
      <w:r w:rsidR="00250275">
        <w:rPr>
          <w:vertAlign w:val="superscript"/>
          <w:lang w:val="en-GB"/>
        </w:rPr>
        <w:t>-1</w:t>
      </w:r>
      <w:r w:rsidR="00250275">
        <w:rPr>
          <w:lang w:val="en-GB"/>
        </w:rPr>
        <w:t xml:space="preserve"> NaCl were prepared. The reactors were spiked with NaN</w:t>
      </w:r>
      <w:r w:rsidR="00250275">
        <w:rPr>
          <w:vertAlign w:val="subscript"/>
          <w:lang w:val="en-GB"/>
        </w:rPr>
        <w:t>3</w:t>
      </w:r>
      <w:r w:rsidR="00250275" w:rsidRPr="00B7368B">
        <w:rPr>
          <w:lang w:val="en-GB"/>
        </w:rPr>
        <w:t>-</w:t>
      </w:r>
      <w:r w:rsidR="00250275">
        <w:rPr>
          <w:lang w:val="en-GB"/>
        </w:rPr>
        <w:t xml:space="preserve">sterilized bacteria and </w:t>
      </w:r>
      <w:r w:rsidR="00476B1C">
        <w:rPr>
          <w:lang w:val="en-GB"/>
        </w:rPr>
        <w:t>vari</w:t>
      </w:r>
      <w:r w:rsidR="00476B1C" w:rsidRPr="00413CD4">
        <w:rPr>
          <w:rFonts w:eastAsia="Calibri"/>
        </w:rPr>
        <w:t>ous</w:t>
      </w:r>
      <w:r w:rsidR="002E154D" w:rsidRPr="00413CD4">
        <w:rPr>
          <w:rFonts w:eastAsia="Calibri"/>
        </w:rPr>
        <w:t xml:space="preserve"> concentrations of Pb(II</w:t>
      </w:r>
      <w:r w:rsidR="00250275" w:rsidRPr="00413CD4">
        <w:rPr>
          <w:rFonts w:eastAsia="Calibri"/>
        </w:rPr>
        <w:t>)</w:t>
      </w:r>
      <w:r w:rsidR="00961E53">
        <w:rPr>
          <w:lang w:val="en-GB"/>
        </w:rPr>
        <w:t xml:space="preserve">. </w:t>
      </w:r>
    </w:p>
    <w:p w14:paraId="3D9C3D03" w14:textId="77777777" w:rsidR="00424567" w:rsidRPr="00413CD4" w:rsidRDefault="002E154D" w:rsidP="00C03166">
      <w:pPr>
        <w:pStyle w:val="CETBodytext"/>
        <w:rPr>
          <w:rFonts w:eastAsia="Calibri"/>
        </w:rPr>
      </w:pPr>
      <w:r>
        <w:rPr>
          <w:lang w:val="en-GB"/>
        </w:rPr>
        <w:t xml:space="preserve">The removal of Pb(II) </w:t>
      </w:r>
      <w:r w:rsidR="00424567">
        <w:rPr>
          <w:lang w:val="en-GB"/>
        </w:rPr>
        <w:t>over a 3 h period</w:t>
      </w:r>
      <w:r>
        <w:rPr>
          <w:lang w:val="en-GB"/>
        </w:rPr>
        <w:t xml:space="preserve"> was investigated by</w:t>
      </w:r>
      <w:r w:rsidR="00424567">
        <w:rPr>
          <w:lang w:val="en-GB"/>
        </w:rPr>
        <w:t xml:space="preserve"> spiking triplicate reactors containing </w:t>
      </w:r>
      <w:r w:rsidR="00424567" w:rsidRPr="00413CD4">
        <w:rPr>
          <w:rFonts w:eastAsia="Calibri"/>
        </w:rPr>
        <w:t>8</w:t>
      </w:r>
      <w:r w:rsidR="00424567" w:rsidRPr="0030613C">
        <w:rPr>
          <w:lang w:val="en-GB"/>
        </w:rPr>
        <w:t>0 mg</w:t>
      </w:r>
      <w:r w:rsidR="00424567">
        <w:rPr>
          <w:lang w:val="en-GB"/>
        </w:rPr>
        <w:t xml:space="preserve"> </w:t>
      </w:r>
      <w:r w:rsidR="00424567" w:rsidRPr="0030613C">
        <w:rPr>
          <w:lang w:val="en-GB"/>
        </w:rPr>
        <w:t>L</w:t>
      </w:r>
      <w:r w:rsidR="00424567">
        <w:rPr>
          <w:vertAlign w:val="superscript"/>
          <w:lang w:val="en-GB"/>
        </w:rPr>
        <w:t>-1</w:t>
      </w:r>
      <w:r w:rsidR="00424567" w:rsidRPr="0030613C">
        <w:rPr>
          <w:lang w:val="en-GB"/>
        </w:rPr>
        <w:t xml:space="preserve"> Pb(II)</w:t>
      </w:r>
      <w:r w:rsidR="00424567">
        <w:rPr>
          <w:lang w:val="en-GB"/>
        </w:rPr>
        <w:t xml:space="preserve"> with 1</w:t>
      </w:r>
      <w:r w:rsidR="00961E53">
        <w:rPr>
          <w:lang w:val="en-GB"/>
        </w:rPr>
        <w:t>.0</w:t>
      </w:r>
      <w:r w:rsidR="00424567">
        <w:rPr>
          <w:lang w:val="en-GB"/>
        </w:rPr>
        <w:t xml:space="preserve"> mL of bacteria. </w:t>
      </w:r>
      <w:r>
        <w:rPr>
          <w:lang w:val="en-GB"/>
        </w:rPr>
        <w:t xml:space="preserve"> </w:t>
      </w:r>
      <w:r w:rsidR="008655D1">
        <w:rPr>
          <w:lang w:val="en-GB"/>
        </w:rPr>
        <w:t xml:space="preserve">Reactors were sampled at various time intervals and filtered </w:t>
      </w:r>
      <w:r w:rsidR="008655D1" w:rsidRPr="00413CD4">
        <w:rPr>
          <w:rFonts w:eastAsia="Calibri"/>
        </w:rPr>
        <w:t>(0</w:t>
      </w:r>
      <w:r w:rsidR="008655D1" w:rsidRPr="00413CD4">
        <w:rPr>
          <w:rFonts w:ascii="erewMI" w:eastAsia="Calibri" w:hAnsi="erewMI" w:cs="erewMI"/>
        </w:rPr>
        <w:t>.</w:t>
      </w:r>
      <w:r w:rsidR="008655D1" w:rsidRPr="00413CD4">
        <w:rPr>
          <w:rFonts w:eastAsia="Calibri"/>
        </w:rPr>
        <w:t xml:space="preserve">45 µm). </w:t>
      </w:r>
    </w:p>
    <w:p w14:paraId="2DDD7C60" w14:textId="77777777" w:rsidR="00961E53" w:rsidRPr="00413CD4" w:rsidRDefault="00961E53" w:rsidP="00C03166">
      <w:pPr>
        <w:pStyle w:val="CETBodytext"/>
        <w:rPr>
          <w:rFonts w:eastAsia="Calibri"/>
        </w:rPr>
      </w:pPr>
      <w:r w:rsidRPr="00413CD4">
        <w:rPr>
          <w:rFonts w:eastAsia="Calibri"/>
        </w:rPr>
        <w:t>The effect of initial Pb(II)</w:t>
      </w:r>
      <w:r w:rsidR="00D62DFD" w:rsidRPr="00413CD4">
        <w:rPr>
          <w:rFonts w:eastAsia="Calibri"/>
        </w:rPr>
        <w:t xml:space="preserve"> concentration</w:t>
      </w:r>
      <w:r w:rsidRPr="00413CD4">
        <w:rPr>
          <w:rFonts w:eastAsia="Calibri"/>
        </w:rPr>
        <w:t xml:space="preserve"> and bacteria concentration on Pb(II) removal was determined by setting up reactors with 1</w:t>
      </w:r>
      <w:r w:rsidRPr="00413CD4">
        <w:rPr>
          <w:rFonts w:ascii="erewMI" w:eastAsia="Calibri" w:hAnsi="erewMI" w:cs="erewMI"/>
        </w:rPr>
        <w:t>.</w:t>
      </w:r>
      <w:r w:rsidRPr="00413CD4">
        <w:rPr>
          <w:rFonts w:eastAsia="Calibri"/>
        </w:rPr>
        <w:t>0 g L</w:t>
      </w:r>
      <w:r w:rsidRPr="00413CD4">
        <w:rPr>
          <w:rFonts w:eastAsia="Calibri"/>
          <w:vertAlign w:val="superscript"/>
        </w:rPr>
        <w:t>-1</w:t>
      </w:r>
      <w:r w:rsidRPr="00413CD4">
        <w:rPr>
          <w:rFonts w:eastAsia="Calibri"/>
        </w:rPr>
        <w:t xml:space="preserve"> NaCl, 50 – 400 mg L</w:t>
      </w:r>
      <w:r w:rsidRPr="00413CD4">
        <w:rPr>
          <w:rFonts w:eastAsia="Calibri"/>
          <w:vertAlign w:val="superscript"/>
        </w:rPr>
        <w:t xml:space="preserve">-1 </w:t>
      </w:r>
      <w:r w:rsidRPr="00413CD4">
        <w:rPr>
          <w:rFonts w:eastAsia="Calibri"/>
        </w:rPr>
        <w:t xml:space="preserve">Pb(II), and 1.2 – 3.4 mL of bacteria culture. The </w:t>
      </w:r>
      <w:r w:rsidR="00933F19" w:rsidRPr="00413CD4">
        <w:rPr>
          <w:rFonts w:eastAsia="Calibri"/>
        </w:rPr>
        <w:t xml:space="preserve">dry </w:t>
      </w:r>
      <w:r w:rsidRPr="00413CD4">
        <w:rPr>
          <w:rFonts w:eastAsia="Calibri"/>
        </w:rPr>
        <w:t xml:space="preserve">mass of bacteria </w:t>
      </w:r>
      <w:r w:rsidR="00933F19" w:rsidRPr="00413CD4">
        <w:rPr>
          <w:rFonts w:eastAsia="Calibri"/>
        </w:rPr>
        <w:t xml:space="preserve">per mL of culture </w:t>
      </w:r>
      <w:r w:rsidRPr="00413CD4">
        <w:rPr>
          <w:rFonts w:eastAsia="Calibri"/>
        </w:rPr>
        <w:t xml:space="preserve">was </w:t>
      </w:r>
      <w:r w:rsidR="00933F19" w:rsidRPr="00413CD4">
        <w:rPr>
          <w:rFonts w:eastAsia="Calibri"/>
        </w:rPr>
        <w:t xml:space="preserve">determined by centrifuging the culture </w:t>
      </w:r>
      <w:r w:rsidR="00D62DFD" w:rsidRPr="00413CD4">
        <w:rPr>
          <w:rFonts w:eastAsia="Calibri"/>
        </w:rPr>
        <w:t>at</w:t>
      </w:r>
      <w:r w:rsidR="00933F19" w:rsidRPr="00413CD4">
        <w:rPr>
          <w:rFonts w:eastAsia="Calibri"/>
        </w:rPr>
        <w:t xml:space="preserve"> 9000 rpm for 10 minutes at 4 </w:t>
      </w:r>
      <w:r w:rsidR="00933F19" w:rsidRPr="00413CD4">
        <w:rPr>
          <w:rFonts w:ascii="Calibri" w:eastAsia="Calibri" w:hAnsi="Calibri" w:cs="Calibri"/>
        </w:rPr>
        <w:t>°</w:t>
      </w:r>
      <w:r w:rsidR="00933F19" w:rsidRPr="00413CD4">
        <w:rPr>
          <w:rFonts w:eastAsia="Calibri"/>
        </w:rPr>
        <w:t xml:space="preserve">C, rinsing with distilled water, and centrifuging again before being oven dried at 50 </w:t>
      </w:r>
      <w:r w:rsidR="00933F19" w:rsidRPr="00413CD4">
        <w:rPr>
          <w:rFonts w:ascii="Calibri" w:eastAsia="Calibri" w:hAnsi="Calibri" w:cs="Calibri"/>
        </w:rPr>
        <w:t>°</w:t>
      </w:r>
      <w:r w:rsidR="00933F19" w:rsidRPr="00413CD4">
        <w:rPr>
          <w:rFonts w:eastAsia="Calibri"/>
        </w:rPr>
        <w:t>C for 24 h.</w:t>
      </w:r>
    </w:p>
    <w:p w14:paraId="24F93203" w14:textId="77777777" w:rsidR="00600535" w:rsidRPr="00413CD4" w:rsidRDefault="008655D1" w:rsidP="00600535">
      <w:pPr>
        <w:pStyle w:val="CETBodytext"/>
        <w:rPr>
          <w:rFonts w:eastAsia="Calibri"/>
        </w:rPr>
      </w:pPr>
      <w:r w:rsidRPr="00413CD4">
        <w:rPr>
          <w:rFonts w:eastAsia="Calibri"/>
        </w:rPr>
        <w:t xml:space="preserve">The Pb(II) concentration in samples was determined by atomic absorption spectroscopy (Perkin Elmer AAnalyst 400, Waltham, Massachusetts). </w:t>
      </w:r>
    </w:p>
    <w:p w14:paraId="07006D58" w14:textId="77777777" w:rsidR="00600535" w:rsidRDefault="005E7E54" w:rsidP="00600535">
      <w:pPr>
        <w:pStyle w:val="CETHeading1"/>
        <w:rPr>
          <w:lang w:val="en-GB"/>
        </w:rPr>
      </w:pPr>
      <w:r>
        <w:rPr>
          <w:lang w:val="en-GB"/>
        </w:rPr>
        <w:lastRenderedPageBreak/>
        <w:t>Results</w:t>
      </w:r>
    </w:p>
    <w:p w14:paraId="366F6AB0" w14:textId="77777777" w:rsidR="005E7E54" w:rsidRDefault="005E7E54" w:rsidP="005E7E54">
      <w:pPr>
        <w:pStyle w:val="CETheadingx"/>
      </w:pPr>
      <w:r>
        <w:t>FTIR analysis</w:t>
      </w:r>
    </w:p>
    <w:p w14:paraId="6B5CB1BC" w14:textId="0B583832" w:rsidR="00F52931" w:rsidRDefault="00A002ED" w:rsidP="00322F3E">
      <w:pPr>
        <w:pStyle w:val="CETBodytext"/>
      </w:pPr>
      <w:r>
        <w:t xml:space="preserve">The presence of functional groups was confirmed by FTIR analysis. </w:t>
      </w:r>
      <w:r w:rsidR="00322F3E">
        <w:t xml:space="preserve">In </w:t>
      </w:r>
      <w:r w:rsidR="00322F3E">
        <w:fldChar w:fldCharType="begin"/>
      </w:r>
      <w:r w:rsidR="00322F3E">
        <w:instrText xml:space="preserve"> REF _Ref59301367 \h </w:instrText>
      </w:r>
      <w:r w:rsidR="00322F3E">
        <w:fldChar w:fldCharType="separate"/>
      </w:r>
      <w:r w:rsidR="00A4772A">
        <w:t xml:space="preserve">Figure </w:t>
      </w:r>
      <w:r w:rsidR="00A4772A">
        <w:rPr>
          <w:noProof/>
        </w:rPr>
        <w:t>1</w:t>
      </w:r>
      <w:r w:rsidR="00322F3E">
        <w:fldChar w:fldCharType="end"/>
      </w:r>
      <w:r w:rsidR="00322F3E">
        <w:t xml:space="preserve">, the broad peak found </w:t>
      </w:r>
      <w:r w:rsidR="00ED54E9">
        <w:t>around 3298 cm</w:t>
      </w:r>
      <w:r w:rsidR="00ED54E9">
        <w:rPr>
          <w:vertAlign w:val="superscript"/>
        </w:rPr>
        <w:t>-1</w:t>
      </w:r>
      <w:r w:rsidR="00322F3E">
        <w:t xml:space="preserve"> </w:t>
      </w:r>
      <w:r w:rsidR="00F50729">
        <w:t>was attributed to O-H stretching</w:t>
      </w:r>
      <w:r w:rsidR="00C77D53">
        <w:t xml:space="preserve"> </w:t>
      </w:r>
      <w:r w:rsidR="00747B8E" w:rsidRPr="00747B8E">
        <w:rPr>
          <w:noProof/>
        </w:rPr>
        <w:t>(Francioso et al., 2010)</w:t>
      </w:r>
      <w:r w:rsidR="00F50729">
        <w:t>, whereas the band at 1640 cm</w:t>
      </w:r>
      <w:r w:rsidR="00F50729">
        <w:rPr>
          <w:vertAlign w:val="superscript"/>
        </w:rPr>
        <w:t>-1</w:t>
      </w:r>
      <w:r w:rsidR="00F50729">
        <w:t xml:space="preserve"> was assigned to the presence of -C=O</w:t>
      </w:r>
      <w:r w:rsidR="00F52931">
        <w:t xml:space="preserve"> in amide I</w:t>
      </w:r>
      <w:r w:rsidR="00F50729">
        <w:t xml:space="preserve"> </w:t>
      </w:r>
      <w:r w:rsidR="00EC1B1F" w:rsidRPr="00EC1B1F">
        <w:rPr>
          <w:noProof/>
        </w:rPr>
        <w:t>(Y. Liu et al., 2016)</w:t>
      </w:r>
      <w:r w:rsidR="00F7095E">
        <w:t>.</w:t>
      </w:r>
      <w:r w:rsidR="00C77D53">
        <w:t xml:space="preserve"> The addition of NaN</w:t>
      </w:r>
      <w:r w:rsidR="00C77D53">
        <w:rPr>
          <w:vertAlign w:val="subscript"/>
        </w:rPr>
        <w:t>3</w:t>
      </w:r>
      <w:r w:rsidR="00C77D53">
        <w:t xml:space="preserve"> appears to do little to affect the surface properties of the consortium. This is seen in </w:t>
      </w:r>
      <w:r w:rsidR="00C77D53">
        <w:fldChar w:fldCharType="begin"/>
      </w:r>
      <w:r w:rsidR="00C77D53">
        <w:instrText xml:space="preserve"> REF _Ref59301367 \h </w:instrText>
      </w:r>
      <w:r w:rsidR="00C77D53">
        <w:fldChar w:fldCharType="separate"/>
      </w:r>
      <w:r w:rsidR="00A4772A">
        <w:t xml:space="preserve">Figure </w:t>
      </w:r>
      <w:r w:rsidR="00A4772A">
        <w:rPr>
          <w:noProof/>
        </w:rPr>
        <w:t>1</w:t>
      </w:r>
      <w:r w:rsidR="00C77D53">
        <w:fldChar w:fldCharType="end"/>
      </w:r>
      <w:r w:rsidR="00C77D53">
        <w:t xml:space="preserve">a) and </w:t>
      </w:r>
      <w:r w:rsidR="00C77D53">
        <w:fldChar w:fldCharType="begin"/>
      </w:r>
      <w:r w:rsidR="00C77D53">
        <w:instrText xml:space="preserve"> REF _Ref59301367 \h </w:instrText>
      </w:r>
      <w:r w:rsidR="00C77D53">
        <w:fldChar w:fldCharType="separate"/>
      </w:r>
      <w:r w:rsidR="00A4772A">
        <w:t xml:space="preserve">Figure </w:t>
      </w:r>
      <w:r w:rsidR="00A4772A">
        <w:rPr>
          <w:noProof/>
        </w:rPr>
        <w:t>1</w:t>
      </w:r>
      <w:r w:rsidR="00C77D53">
        <w:fldChar w:fldCharType="end"/>
      </w:r>
      <w:r w:rsidR="00C77D53">
        <w:t>b)</w:t>
      </w:r>
      <w:r w:rsidR="001307D0">
        <w:t>.</w:t>
      </w:r>
      <w:r w:rsidR="00D62DFD">
        <w:t xml:space="preserve"> </w:t>
      </w:r>
      <w:r w:rsidR="000F4DB5">
        <w:t xml:space="preserve"> </w:t>
      </w:r>
      <w:r w:rsidR="001307D0">
        <w:t>A</w:t>
      </w:r>
      <w:r w:rsidR="00C77D53">
        <w:t xml:space="preserve"> difference between the two spectra </w:t>
      </w:r>
      <w:r w:rsidR="001307D0">
        <w:t>is</w:t>
      </w:r>
      <w:r w:rsidR="00C77D53">
        <w:t xml:space="preserve"> observed at 2040 cm</w:t>
      </w:r>
      <w:r w:rsidR="00C77D53">
        <w:rPr>
          <w:vertAlign w:val="superscript"/>
        </w:rPr>
        <w:t>-1</w:t>
      </w:r>
      <w:r w:rsidR="001307D0">
        <w:t xml:space="preserve"> in </w:t>
      </w:r>
      <w:r w:rsidR="001307D0">
        <w:fldChar w:fldCharType="begin"/>
      </w:r>
      <w:r w:rsidR="001307D0">
        <w:instrText xml:space="preserve"> REF _Ref59301367 \h </w:instrText>
      </w:r>
      <w:r w:rsidR="001307D0">
        <w:fldChar w:fldCharType="separate"/>
      </w:r>
      <w:r w:rsidR="00A4772A">
        <w:t xml:space="preserve">Figure </w:t>
      </w:r>
      <w:r w:rsidR="00A4772A">
        <w:rPr>
          <w:noProof/>
        </w:rPr>
        <w:t>1</w:t>
      </w:r>
      <w:r w:rsidR="001307D0">
        <w:fldChar w:fldCharType="end"/>
      </w:r>
      <w:r w:rsidR="001307D0">
        <w:t>b), with this band</w:t>
      </w:r>
      <w:r w:rsidR="00C77D53">
        <w:t xml:space="preserve"> signaling the presence of N</w:t>
      </w:r>
      <w:r w:rsidR="00C77D53">
        <w:rPr>
          <w:rFonts w:ascii="Calibri" w:hAnsi="Calibri" w:cs="Calibri"/>
        </w:rPr>
        <w:t>≡</w:t>
      </w:r>
      <w:r w:rsidR="00C77D53">
        <w:t>N from NaN</w:t>
      </w:r>
      <w:r w:rsidR="00C77D53">
        <w:rPr>
          <w:vertAlign w:val="subscript"/>
        </w:rPr>
        <w:t>3</w:t>
      </w:r>
      <w:r w:rsidR="001307D0">
        <w:rPr>
          <w:vertAlign w:val="subscript"/>
        </w:rPr>
        <w:t xml:space="preserve"> </w:t>
      </w:r>
      <w:r w:rsidR="00747B8E" w:rsidRPr="00747B8E">
        <w:rPr>
          <w:noProof/>
        </w:rPr>
        <w:t>(Tao et al., 2011)</w:t>
      </w:r>
      <w:r w:rsidR="00C77D53">
        <w:t>.</w:t>
      </w:r>
      <w:r w:rsidR="001307D0">
        <w:t xml:space="preserve"> The addition of Pb(II) results in </w:t>
      </w:r>
      <w:r w:rsidR="009D7945">
        <w:t>a</w:t>
      </w:r>
      <w:r w:rsidR="001307D0">
        <w:t xml:space="preserve"> significant disruption</w:t>
      </w:r>
      <w:r w:rsidR="009D7945">
        <w:t xml:space="preserve"> in</w:t>
      </w:r>
      <w:r w:rsidR="001307D0">
        <w:t xml:space="preserve"> transmittance between </w:t>
      </w:r>
      <w:r w:rsidR="009D7945">
        <w:t>1550 and 900 cm</w:t>
      </w:r>
      <w:r w:rsidR="009D7945">
        <w:rPr>
          <w:vertAlign w:val="superscript"/>
        </w:rPr>
        <w:t>-1</w:t>
      </w:r>
      <w:r w:rsidR="009D7945">
        <w:t xml:space="preserve">, as observed in </w:t>
      </w:r>
      <w:r w:rsidR="009D7945">
        <w:fldChar w:fldCharType="begin"/>
      </w:r>
      <w:r w:rsidR="009D7945">
        <w:instrText xml:space="preserve"> REF _Ref59301367 \h </w:instrText>
      </w:r>
      <w:r w:rsidR="009D7945">
        <w:fldChar w:fldCharType="separate"/>
      </w:r>
      <w:r w:rsidR="00A4772A">
        <w:t xml:space="preserve">Figure </w:t>
      </w:r>
      <w:r w:rsidR="00A4772A">
        <w:rPr>
          <w:noProof/>
        </w:rPr>
        <w:t>1</w:t>
      </w:r>
      <w:r w:rsidR="009D7945">
        <w:fldChar w:fldCharType="end"/>
      </w:r>
      <w:r w:rsidR="009D7945">
        <w:t>c).</w:t>
      </w:r>
      <w:r w:rsidR="007E5641">
        <w:t xml:space="preserve"> The appearance of new peaks</w:t>
      </w:r>
      <w:r>
        <w:t xml:space="preserve"> could be indicative of the cell wall rupturing, resulting in the exposure of various functional </w:t>
      </w:r>
      <w:r w:rsidR="0069260D">
        <w:t xml:space="preserve">groups from the </w:t>
      </w:r>
      <w:r w:rsidR="00ED54E9">
        <w:t>inside the</w:t>
      </w:r>
      <w:r w:rsidR="0069260D">
        <w:t xml:space="preserve"> cell</w:t>
      </w:r>
      <w:r w:rsidR="007E5641">
        <w:t>. Th</w:t>
      </w:r>
      <w:r w:rsidR="00D62DFD">
        <w:t xml:space="preserve">is </w:t>
      </w:r>
      <w:r w:rsidR="007E5641">
        <w:t xml:space="preserve">consortium has been recorded growing in Pb(II) concentrations around </w:t>
      </w:r>
      <w:r w:rsidR="00D62DFD">
        <w:t>1000</w:t>
      </w:r>
      <w:r w:rsidR="007E5641">
        <w:t xml:space="preserve"> mg L</w:t>
      </w:r>
      <w:r w:rsidR="007E5641">
        <w:rPr>
          <w:vertAlign w:val="superscript"/>
        </w:rPr>
        <w:t>-1</w:t>
      </w:r>
      <w:r w:rsidR="00D62DFD">
        <w:rPr>
          <w:vertAlign w:val="superscript"/>
        </w:rPr>
        <w:t xml:space="preserve"> </w:t>
      </w:r>
      <w:r w:rsidR="00D62DFD" w:rsidRPr="00D62DFD">
        <w:rPr>
          <w:noProof/>
        </w:rPr>
        <w:t>(Peens et al., 2018)</w:t>
      </w:r>
      <w:r w:rsidR="007E5641">
        <w:t>,</w:t>
      </w:r>
      <w:r w:rsidR="000430C0">
        <w:t xml:space="preserve"> </w:t>
      </w:r>
      <w:r w:rsidR="007E5641">
        <w:t xml:space="preserve">making such destructive effects </w:t>
      </w:r>
      <w:r w:rsidR="00D62DFD">
        <w:t>of 200 mg L</w:t>
      </w:r>
      <w:r w:rsidR="00D62DFD">
        <w:rPr>
          <w:vertAlign w:val="superscript"/>
        </w:rPr>
        <w:t>-1</w:t>
      </w:r>
      <w:r w:rsidR="00D62DFD">
        <w:t xml:space="preserve"> Pb(II) on cell walls </w:t>
      </w:r>
      <w:r w:rsidR="007E5641">
        <w:t>unlikely.</w:t>
      </w:r>
      <w:r w:rsidR="000430C0">
        <w:t xml:space="preserve"> </w:t>
      </w:r>
    </w:p>
    <w:p w14:paraId="5E1B644B" w14:textId="77777777" w:rsidR="00D62DFD" w:rsidRDefault="00EC1B1F" w:rsidP="00747DA2">
      <w:pPr>
        <w:pStyle w:val="CETBodytext"/>
      </w:pPr>
      <w:r>
        <w:t xml:space="preserve">Alternatively, the appearance and strengthening of weak bands could show chemisorption of Pb(II) to particular surface functional groups. </w:t>
      </w:r>
      <w:r w:rsidR="00461FA0">
        <w:t>Bands are described as appearing if they were not discernable in the spectra of NaN</w:t>
      </w:r>
      <w:r w:rsidR="00461FA0">
        <w:rPr>
          <w:vertAlign w:val="subscript"/>
        </w:rPr>
        <w:t>3</w:t>
      </w:r>
      <w:r w:rsidR="00461FA0">
        <w:t xml:space="preserve">-sterilized cultures but </w:t>
      </w:r>
      <w:r w:rsidR="00D62DFD">
        <w:t xml:space="preserve">became apparent in </w:t>
      </w:r>
      <w:r w:rsidR="00D62DFD">
        <w:fldChar w:fldCharType="begin"/>
      </w:r>
      <w:r w:rsidR="00D62DFD">
        <w:instrText xml:space="preserve"> REF _Ref59301367 \h </w:instrText>
      </w:r>
      <w:r w:rsidR="00D62DFD">
        <w:fldChar w:fldCharType="separate"/>
      </w:r>
      <w:r w:rsidR="00D62DFD">
        <w:t xml:space="preserve">Figure </w:t>
      </w:r>
      <w:r w:rsidR="00D62DFD">
        <w:rPr>
          <w:noProof/>
        </w:rPr>
        <w:t>1</w:t>
      </w:r>
      <w:r w:rsidR="00D62DFD">
        <w:fldChar w:fldCharType="end"/>
      </w:r>
      <w:r w:rsidR="00D62DFD">
        <w:t>c)</w:t>
      </w:r>
      <w:r w:rsidR="00D62DFD" w:rsidRPr="00D62DFD">
        <w:fldChar w:fldCharType="begin"/>
      </w:r>
      <w:r w:rsidR="00D62DFD" w:rsidRPr="00D62DFD">
        <w:instrText xml:space="preserve"> REF _Ref59399637 \h  \* MERGEFORMAT </w:instrText>
      </w:r>
      <w:r w:rsidR="00D62DFD" w:rsidRPr="00D62DFD">
        <w:fldChar w:fldCharType="end"/>
      </w:r>
      <w:r w:rsidR="00461FA0">
        <w:t xml:space="preserve">. </w:t>
      </w:r>
    </w:p>
    <w:p w14:paraId="5BE379C5" w14:textId="77777777" w:rsidR="00747DA2" w:rsidRDefault="00747431" w:rsidP="00D62DFD">
      <w:pPr>
        <w:pStyle w:val="CETBodytext"/>
        <w:spacing w:after="240"/>
      </w:pPr>
      <w:r>
        <w:t xml:space="preserve">The appearance of </w:t>
      </w:r>
      <w:r w:rsidR="00F52931">
        <w:t>a band at 1537 cm</w:t>
      </w:r>
      <w:r w:rsidR="00F52931">
        <w:rPr>
          <w:vertAlign w:val="superscript"/>
        </w:rPr>
        <w:t>-1</w:t>
      </w:r>
      <w:r w:rsidR="00F52931">
        <w:t xml:space="preserve"> may be indicative of interference or deformation of N-H bending in amide II, and is suggestive of Pb(II) binding </w:t>
      </w:r>
      <w:r w:rsidR="00F52931" w:rsidRPr="00F52931">
        <w:rPr>
          <w:noProof/>
        </w:rPr>
        <w:t>(Masoumi et al., 2016)</w:t>
      </w:r>
      <w:r w:rsidR="00F52931">
        <w:t xml:space="preserve">. The strengthening </w:t>
      </w:r>
      <w:r w:rsidR="00EC1B1F">
        <w:t>of the band at 1451 cm</w:t>
      </w:r>
      <w:r w:rsidR="00EC1B1F">
        <w:rPr>
          <w:vertAlign w:val="superscript"/>
        </w:rPr>
        <w:t>-1</w:t>
      </w:r>
      <w:r w:rsidR="00EC1B1F">
        <w:t xml:space="preserve"> and subsequent shift to 1454 cm</w:t>
      </w:r>
      <w:r w:rsidR="00EC1B1F">
        <w:rPr>
          <w:vertAlign w:val="superscript"/>
        </w:rPr>
        <w:t>-1</w:t>
      </w:r>
      <w:r w:rsidR="00EC1B1F">
        <w:t xml:space="preserve"> could signal Pb(II) interactions with CH</w:t>
      </w:r>
      <w:r w:rsidR="00EC1B1F">
        <w:rPr>
          <w:vertAlign w:val="subscript"/>
        </w:rPr>
        <w:t>3</w:t>
      </w:r>
      <w:r w:rsidR="00EC1B1F">
        <w:t xml:space="preserve"> and CH</w:t>
      </w:r>
      <w:r w:rsidR="00EC1B1F">
        <w:rPr>
          <w:vertAlign w:val="subscript"/>
        </w:rPr>
        <w:t>2</w:t>
      </w:r>
      <w:r w:rsidR="00EC1B1F">
        <w:t xml:space="preserve"> groups of lipids and proteins </w:t>
      </w:r>
      <w:r w:rsidR="00EC1B1F" w:rsidRPr="00EC1B1F">
        <w:rPr>
          <w:noProof/>
        </w:rPr>
        <w:t>(Z. Liu et al., 2016)</w:t>
      </w:r>
      <w:r w:rsidR="00EC1B1F">
        <w:t>. The strengthening and shift of the band at 1406 cm</w:t>
      </w:r>
      <w:r w:rsidR="00EC1B1F">
        <w:rPr>
          <w:vertAlign w:val="superscript"/>
        </w:rPr>
        <w:t>-1</w:t>
      </w:r>
      <w:r w:rsidR="00EC1B1F">
        <w:t xml:space="preserve">  to 1393 cm</w:t>
      </w:r>
      <w:r w:rsidR="00EC1B1F">
        <w:rPr>
          <w:vertAlign w:val="superscript"/>
        </w:rPr>
        <w:t>-1</w:t>
      </w:r>
      <w:r w:rsidR="00EC1B1F">
        <w:t xml:space="preserve">  </w:t>
      </w:r>
      <w:r w:rsidR="00461FA0">
        <w:t>is likely a result of COO</w:t>
      </w:r>
      <w:r w:rsidR="00461FA0">
        <w:rPr>
          <w:vertAlign w:val="superscript"/>
        </w:rPr>
        <w:t>-</w:t>
      </w:r>
      <w:r w:rsidR="00461FA0">
        <w:t xml:space="preserve"> groups </w:t>
      </w:r>
      <w:r w:rsidR="00461FA0" w:rsidRPr="00461FA0">
        <w:rPr>
          <w:noProof/>
        </w:rPr>
        <w:t>(Dittrich and Sibler, 2005)</w:t>
      </w:r>
      <w:r w:rsidR="00461FA0">
        <w:t xml:space="preserve"> binding with Pb(II). Additionally, the strengthening and shift of</w:t>
      </w:r>
      <w:r w:rsidR="00D62DFD">
        <w:t xml:space="preserve"> the</w:t>
      </w:r>
      <w:r w:rsidR="00461FA0">
        <w:t xml:space="preserve"> 1240 cm</w:t>
      </w:r>
      <w:r w:rsidR="00461FA0">
        <w:rPr>
          <w:vertAlign w:val="superscript"/>
        </w:rPr>
        <w:t>-1</w:t>
      </w:r>
      <w:r w:rsidR="00461FA0">
        <w:t xml:space="preserve"> </w:t>
      </w:r>
      <w:r w:rsidR="00D62DFD">
        <w:t xml:space="preserve">band </w:t>
      </w:r>
      <w:r w:rsidR="00461FA0">
        <w:t>to 1235 cm</w:t>
      </w:r>
      <w:r w:rsidR="00461FA0">
        <w:rPr>
          <w:vertAlign w:val="superscript"/>
        </w:rPr>
        <w:t>-1</w:t>
      </w:r>
      <w:r w:rsidR="00461FA0">
        <w:t xml:space="preserve"> could arise from</w:t>
      </w:r>
      <w:r w:rsidR="00D62DFD">
        <w:t xml:space="preserve"> lead</w:t>
      </w:r>
      <w:r w:rsidR="00461FA0">
        <w:t xml:space="preserve"> binding with P=O </w:t>
      </w:r>
      <w:r w:rsidR="00461FA0" w:rsidRPr="00747DA2">
        <w:t xml:space="preserve">functional groups of phosphorylated proteins or polyphosphate storage products </w:t>
      </w:r>
      <w:r w:rsidR="00461FA0" w:rsidRPr="00747DA2">
        <w:rPr>
          <w:noProof/>
        </w:rPr>
        <w:t>(Dittrich and Sibler, 2005)</w:t>
      </w:r>
      <w:r w:rsidR="00461FA0" w:rsidRPr="00747DA2">
        <w:t>. The appearance of a band at 1030 cm</w:t>
      </w:r>
      <w:r w:rsidR="00461FA0" w:rsidRPr="00747DA2">
        <w:rPr>
          <w:vertAlign w:val="superscript"/>
        </w:rPr>
        <w:t>-1</w:t>
      </w:r>
      <w:r w:rsidR="00461FA0" w:rsidRPr="00747DA2">
        <w:t xml:space="preserve"> may be attributed to </w:t>
      </w:r>
      <w:r w:rsidR="00C20038" w:rsidRPr="00747DA2">
        <w:t xml:space="preserve">a variety of mixed modes of carbohydrates </w:t>
      </w:r>
      <w:r w:rsidR="00C20038" w:rsidRPr="00747DA2">
        <w:rPr>
          <w:noProof/>
        </w:rPr>
        <w:t>(Z. Liu et al., 2016)</w:t>
      </w:r>
      <w:r w:rsidR="00C20038" w:rsidRPr="00747DA2">
        <w:t xml:space="preserve"> or carboxyl groups </w:t>
      </w:r>
      <w:r w:rsidR="00C20038" w:rsidRPr="00747DA2">
        <w:rPr>
          <w:noProof/>
        </w:rPr>
        <w:t>(Lu et al., 2012)</w:t>
      </w:r>
      <w:r w:rsidR="00C20038" w:rsidRPr="00747DA2">
        <w:t>. Finally, the appearance of a band at 956 cm</w:t>
      </w:r>
      <w:r w:rsidR="00C20038" w:rsidRPr="00747DA2">
        <w:rPr>
          <w:vertAlign w:val="superscript"/>
        </w:rPr>
        <w:t>-1</w:t>
      </w:r>
      <w:r w:rsidR="00C20038" w:rsidRPr="00747DA2">
        <w:t xml:space="preserve"> is likely due to Pb(II) interfering with C=C bending in alkenes.</w:t>
      </w:r>
      <w:r w:rsidR="00747DA2" w:rsidRPr="00747DA2">
        <w:t xml:space="preserve"> </w:t>
      </w:r>
    </w:p>
    <w:p w14:paraId="40C36351" w14:textId="15401459" w:rsidR="00EB4BED" w:rsidRDefault="004C6C8F" w:rsidP="00C20038">
      <w:pPr>
        <w:pStyle w:val="CETBodytext"/>
        <w:spacing w:after="240"/>
      </w:pPr>
      <w:r w:rsidRPr="00413CD4">
        <w:rPr>
          <w:noProof/>
          <w:lang w:val="it-IT" w:eastAsia="it-IT"/>
        </w:rPr>
        <w:drawing>
          <wp:inline distT="0" distB="0" distL="0" distR="0" wp14:anchorId="688BA1BC" wp14:editId="59EA86BE">
            <wp:extent cx="4324350" cy="31051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" b="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5F1B8" w14:textId="77777777" w:rsidR="00EB4BED" w:rsidRPr="00B57B36" w:rsidRDefault="00EB4BED" w:rsidP="00EB4BED">
      <w:pPr>
        <w:pStyle w:val="CETCaption"/>
      </w:pPr>
      <w:bookmarkStart w:id="0" w:name="_Ref5930136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 FTIR spectra of bacteria consortium a) after 24 h growth period, b) after 3 h exposure to NaN</w:t>
      </w:r>
      <w:r>
        <w:rPr>
          <w:vertAlign w:val="subscript"/>
        </w:rPr>
        <w:t>3</w:t>
      </w:r>
      <w:r>
        <w:t>, and c) after exposure to NaN</w:t>
      </w:r>
      <w:r>
        <w:rPr>
          <w:vertAlign w:val="subscript"/>
        </w:rPr>
        <w:t>3</w:t>
      </w:r>
      <w:r>
        <w:t xml:space="preserve"> and Pb(NO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.</w:t>
      </w:r>
    </w:p>
    <w:p w14:paraId="1ED6EAC6" w14:textId="77777777" w:rsidR="00322F3E" w:rsidRDefault="00747DA2" w:rsidP="00EB4BED">
      <w:pPr>
        <w:pStyle w:val="CETBodytext"/>
        <w:spacing w:after="240"/>
      </w:pPr>
      <w:r>
        <w:t xml:space="preserve">These findings are consistent with literature reports of functional groups involved in the chemisorption of heavy metals to biomass, including carboxyl groups </w:t>
      </w:r>
      <w:r w:rsidRPr="00747DA2">
        <w:rPr>
          <w:noProof/>
        </w:rPr>
        <w:t>(Fomina and Gadd, 2014)</w:t>
      </w:r>
      <w:r>
        <w:t xml:space="preserve">,  amine </w:t>
      </w:r>
      <w:r w:rsidRPr="00747DA2">
        <w:rPr>
          <w:noProof/>
        </w:rPr>
        <w:t>(Fein et al., 1997)</w:t>
      </w:r>
      <w:r>
        <w:t xml:space="preserve">, phosphate </w:t>
      </w:r>
      <w:r w:rsidRPr="00747DA2">
        <w:rPr>
          <w:noProof/>
        </w:rPr>
        <w:t>(Ngwenya et al., 2003)</w:t>
      </w:r>
      <w:r>
        <w:t xml:space="preserve">, and carbonyl </w:t>
      </w:r>
      <w:r w:rsidR="00EB4BED" w:rsidRPr="00EB4BED">
        <w:rPr>
          <w:noProof/>
        </w:rPr>
        <w:t>(Mathew and Krishnamurthy, 2018)</w:t>
      </w:r>
      <w:r w:rsidR="00EB4BED">
        <w:t>.</w:t>
      </w:r>
    </w:p>
    <w:p w14:paraId="35F979FC" w14:textId="77777777" w:rsidR="00322F3E" w:rsidRDefault="00C20038" w:rsidP="001C7F2D">
      <w:pPr>
        <w:pStyle w:val="CETheadingx"/>
      </w:pPr>
      <w:r>
        <w:lastRenderedPageBreak/>
        <w:t>Lead removal</w:t>
      </w:r>
      <w:r w:rsidR="00101CC7">
        <w:t xml:space="preserve"> experiments</w:t>
      </w:r>
    </w:p>
    <w:p w14:paraId="3EC97A09" w14:textId="77777777" w:rsidR="00C02DF8" w:rsidRDefault="00A4772A" w:rsidP="00A4772A">
      <w:pPr>
        <w:pStyle w:val="CETBodytext"/>
      </w:pPr>
      <w:r>
        <w:t xml:space="preserve">Following 3 h, </w:t>
      </w:r>
      <w:r w:rsidR="00961E53">
        <w:t>61.7</w:t>
      </w:r>
      <w:r w:rsidR="001167D9">
        <w:t xml:space="preserve"> </w:t>
      </w:r>
      <w:r w:rsidR="001167D9">
        <w:rPr>
          <w:rFonts w:ascii="Calibri" w:hAnsi="Calibri" w:cs="Calibri"/>
        </w:rPr>
        <w:t>±</w:t>
      </w:r>
      <w:r w:rsidR="001167D9">
        <w:t xml:space="preserve"> 4.86</w:t>
      </w:r>
      <w:r>
        <w:t xml:space="preserve"> % of Pb(II) was removed from solution by NaN</w:t>
      </w:r>
      <w:r>
        <w:rPr>
          <w:vertAlign w:val="subscript"/>
        </w:rPr>
        <w:t>3</w:t>
      </w:r>
      <w:r>
        <w:t>-sterilized bacteria</w:t>
      </w:r>
      <w:r w:rsidR="00400889">
        <w:t xml:space="preserve"> </w:t>
      </w:r>
      <w:r w:rsidR="00400889" w:rsidRPr="00100F57">
        <w:t>(</w:t>
      </w:r>
      <w:r w:rsidR="00100F57" w:rsidRPr="00100F57">
        <w:fldChar w:fldCharType="begin"/>
      </w:r>
      <w:r w:rsidR="00100F57" w:rsidRPr="00100F57">
        <w:instrText xml:space="preserve"> REF _Ref59375307 \h  \* MERGEFORMAT </w:instrText>
      </w:r>
      <w:r w:rsidR="00100F57" w:rsidRPr="00100F57">
        <w:fldChar w:fldCharType="separate"/>
      </w:r>
      <w:r w:rsidR="00100F57" w:rsidRPr="00100F57">
        <w:t xml:space="preserve">Figure </w:t>
      </w:r>
      <w:r w:rsidR="00100F57" w:rsidRPr="00100F57">
        <w:rPr>
          <w:noProof/>
        </w:rPr>
        <w:t>2</w:t>
      </w:r>
      <w:r w:rsidR="00100F57" w:rsidRPr="00100F57">
        <w:fldChar w:fldCharType="end"/>
      </w:r>
      <w:r w:rsidR="00CF667D">
        <w:t>)</w:t>
      </w:r>
      <w:r w:rsidR="00646EA5">
        <w:t>.</w:t>
      </w:r>
      <w:r w:rsidR="00C02DF8">
        <w:t xml:space="preserve"> </w:t>
      </w:r>
    </w:p>
    <w:p w14:paraId="525B7BAB" w14:textId="77777777" w:rsidR="003231B6" w:rsidRDefault="003231B6" w:rsidP="00A4772A">
      <w:pPr>
        <w:pStyle w:val="CETBodytext"/>
      </w:pPr>
      <w:r>
        <w:t>In addition, no metabolic activity was detected in any of the reactors</w:t>
      </w:r>
      <w:r w:rsidR="00CE6A04">
        <w:t xml:space="preserve"> using MTT</w:t>
      </w:r>
      <w:r>
        <w:t xml:space="preserve">. This </w:t>
      </w:r>
      <w:r w:rsidR="00CE6A04">
        <w:t>indicates</w:t>
      </w:r>
      <w:r>
        <w:t xml:space="preserve"> that a passive mechanism </w:t>
      </w:r>
      <w:r w:rsidR="00CE6A04">
        <w:t>was</w:t>
      </w:r>
      <w:r>
        <w:t xml:space="preserve"> involved in lead removal.</w:t>
      </w:r>
      <w:r w:rsidR="00480909">
        <w:t xml:space="preserve"> The concentrations used were also found to be within the solubility range of Pb(N</w:t>
      </w:r>
      <w:r w:rsidR="00480909">
        <w:rPr>
          <w:vertAlign w:val="subscript"/>
        </w:rPr>
        <w:t>3</w:t>
      </w:r>
      <w:r w:rsidR="00480909">
        <w:t>)</w:t>
      </w:r>
      <w:r w:rsidR="00480909">
        <w:rPr>
          <w:vertAlign w:val="subscript"/>
        </w:rPr>
        <w:t xml:space="preserve">2 </w:t>
      </w:r>
      <w:r w:rsidR="00747B8E" w:rsidRPr="00747B8E">
        <w:rPr>
          <w:noProof/>
        </w:rPr>
        <w:t>(Lieber et al., 1966)</w:t>
      </w:r>
      <w:r w:rsidR="00480909">
        <w:t xml:space="preserve">, </w:t>
      </w:r>
      <w:r w:rsidR="00CE6A04">
        <w:t>confirming</w:t>
      </w:r>
      <w:r w:rsidR="00480909">
        <w:t xml:space="preserve"> that lead removal was caused by</w:t>
      </w:r>
      <w:r w:rsidR="00954713">
        <w:t xml:space="preserve"> the</w:t>
      </w:r>
      <w:r w:rsidR="00480909">
        <w:t xml:space="preserve"> presence of the battery recycling plant consortium alone. </w:t>
      </w:r>
      <w:r>
        <w:t xml:space="preserve"> </w:t>
      </w:r>
      <w:r w:rsidR="00832B79">
        <w:t>No black/grey precipitate was discernable following a 24 h period, signaling a lack of PbS or Pb(</w:t>
      </w:r>
      <w:r w:rsidR="00577E71">
        <w:t>0</w:t>
      </w:r>
      <w:r w:rsidR="00832B79">
        <w:t>) formation.</w:t>
      </w:r>
    </w:p>
    <w:p w14:paraId="1AA42524" w14:textId="77777777" w:rsidR="00CF667D" w:rsidRDefault="000532DC" w:rsidP="001C7F2D">
      <w:pPr>
        <w:pStyle w:val="CETBodytext"/>
      </w:pPr>
      <w:r>
        <w:t>A</w:t>
      </w:r>
      <w:r w:rsidR="00CE6A04">
        <w:t xml:space="preserve">s shown in </w:t>
      </w:r>
      <w:r w:rsidR="00CE6A04">
        <w:fldChar w:fldCharType="begin"/>
      </w:r>
      <w:r w:rsidR="00CE6A04" w:rsidRPr="000532DC">
        <w:instrText xml:space="preserve"> REF _Ref59369116 \h </w:instrText>
      </w:r>
      <w:r w:rsidR="00CE6A04">
        <w:instrText xml:space="preserve"> \* MERGEFORMAT </w:instrText>
      </w:r>
      <w:r w:rsidR="00CE6A04">
        <w:fldChar w:fldCharType="separate"/>
      </w:r>
      <w:r w:rsidR="00CE6A04" w:rsidRPr="000532DC">
        <w:t>Figure</w:t>
      </w:r>
      <w:r w:rsidR="00CE6A04" w:rsidRPr="000532DC">
        <w:rPr>
          <w:b/>
          <w:bCs/>
        </w:rPr>
        <w:t xml:space="preserve"> </w:t>
      </w:r>
      <w:r w:rsidR="00CE6A04" w:rsidRPr="000532DC">
        <w:rPr>
          <w:b/>
          <w:bCs/>
          <w:noProof/>
        </w:rPr>
        <w:t>3</w:t>
      </w:r>
      <w:r w:rsidR="00CE6A04">
        <w:fldChar w:fldCharType="end"/>
      </w:r>
      <w:r w:rsidR="00CE6A04">
        <w:t>, a</w:t>
      </w:r>
      <w:r>
        <w:t>n increase in bacteria mass</w:t>
      </w:r>
      <w:r w:rsidR="00CE6A04">
        <w:t xml:space="preserve"> dosing</w:t>
      </w:r>
      <w:r>
        <w:t xml:space="preserve"> was found to produce a clear increase in Pb(II) removal.</w:t>
      </w:r>
      <w:r w:rsidR="00483017">
        <w:t xml:space="preserve"> This </w:t>
      </w:r>
      <w:r w:rsidR="00CE6A04">
        <w:t xml:space="preserve">is </w:t>
      </w:r>
      <w:r w:rsidR="00483017">
        <w:t>presumably due to an increase in</w:t>
      </w:r>
      <w:r w:rsidR="00CE6A04">
        <w:t xml:space="preserve"> available</w:t>
      </w:r>
      <w:r w:rsidR="00483017">
        <w:t xml:space="preserve"> sorption sites. </w:t>
      </w:r>
      <w:r>
        <w:t xml:space="preserve"> An increase in initial Pb(II) concentration </w:t>
      </w:r>
      <w:r w:rsidR="00483017">
        <w:t>from 0 mg L</w:t>
      </w:r>
      <w:r w:rsidR="00483017">
        <w:rPr>
          <w:vertAlign w:val="superscript"/>
        </w:rPr>
        <w:t>-1</w:t>
      </w:r>
      <w:r w:rsidR="00483017">
        <w:t xml:space="preserve"> to 100 mg L</w:t>
      </w:r>
      <w:r w:rsidR="00483017">
        <w:rPr>
          <w:vertAlign w:val="superscript"/>
        </w:rPr>
        <w:t>-1</w:t>
      </w:r>
      <w:r w:rsidR="00483017">
        <w:t xml:space="preserve"> </w:t>
      </w:r>
      <w:r>
        <w:t xml:space="preserve">shows </w:t>
      </w:r>
      <w:r w:rsidR="00483017">
        <w:t>greater</w:t>
      </w:r>
      <w:r>
        <w:t xml:space="preserve"> Pb(II) removal, </w:t>
      </w:r>
      <w:r w:rsidR="00954713">
        <w:t xml:space="preserve">most likely </w:t>
      </w:r>
      <w:r>
        <w:t xml:space="preserve">due to a stronger concentration gradient. A similar effect </w:t>
      </w:r>
      <w:r w:rsidR="00954713">
        <w:t>was</w:t>
      </w:r>
      <w:r>
        <w:t xml:space="preserve"> seen with Pb(II) adsorption </w:t>
      </w:r>
      <w:r w:rsidR="00747B8E">
        <w:t xml:space="preserve">onto carbon nanofibers </w:t>
      </w:r>
      <w:r w:rsidR="00747B8E" w:rsidRPr="00747B8E">
        <w:rPr>
          <w:noProof/>
        </w:rPr>
        <w:t>(Ahmed et al., 2010)</w:t>
      </w:r>
      <w:r w:rsidR="00747B8E">
        <w:t>.</w:t>
      </w:r>
      <w:r>
        <w:t xml:space="preserve"> </w:t>
      </w:r>
      <w:r w:rsidR="00483017">
        <w:t>Above 150 mg L</w:t>
      </w:r>
      <w:r w:rsidR="00483017">
        <w:rPr>
          <w:vertAlign w:val="superscript"/>
        </w:rPr>
        <w:t>-1</w:t>
      </w:r>
      <w:r w:rsidR="00747B8E">
        <w:t xml:space="preserve"> a</w:t>
      </w:r>
      <w:r w:rsidR="00483017">
        <w:t xml:space="preserve"> decrease in adsorption is observed with increases in initial Pb(II) concentration</w:t>
      </w:r>
      <w:r w:rsidR="00747B8E">
        <w:t>, indicating the limitation of adsorption sites being reached at these concentrations.</w:t>
      </w:r>
      <w:r w:rsidR="00646EA5">
        <w:t xml:space="preserve"> As seen in </w:t>
      </w:r>
      <w:r w:rsidR="006E2B90">
        <w:t>Table 1</w:t>
      </w:r>
      <w:r w:rsidR="00646EA5">
        <w:t>,</w:t>
      </w:r>
      <w:r w:rsidR="006E2B90">
        <w:t xml:space="preserve"> </w:t>
      </w:r>
      <w:r w:rsidR="00646EA5">
        <w:t>l</w:t>
      </w:r>
      <w:r w:rsidR="00A95155">
        <w:t xml:space="preserve">ead removal by </w:t>
      </w:r>
      <w:r w:rsidR="00646EA5">
        <w:t>the battery recycling plant consortium</w:t>
      </w:r>
      <w:r w:rsidR="006E2B90">
        <w:t xml:space="preserve"> </w:t>
      </w:r>
      <w:r w:rsidR="00646EA5">
        <w:t>requires significantly less biomass</w:t>
      </w:r>
      <w:r w:rsidR="00A95155">
        <w:t xml:space="preserve"> </w:t>
      </w:r>
      <w:r w:rsidR="00646EA5">
        <w:t>when compared to several</w:t>
      </w:r>
      <w:r w:rsidR="00A95155">
        <w:t xml:space="preserve"> previous studies. </w:t>
      </w:r>
    </w:p>
    <w:p w14:paraId="26319DA3" w14:textId="0505BE20" w:rsidR="00C20038" w:rsidRDefault="004C6C8F" w:rsidP="001C7F2D">
      <w:pPr>
        <w:pStyle w:val="CETBodytext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2A1C0AE" wp14:editId="09B1CCAD">
            <wp:simplePos x="0" y="0"/>
            <wp:positionH relativeFrom="column">
              <wp:posOffset>-3810</wp:posOffset>
            </wp:positionH>
            <wp:positionV relativeFrom="paragraph">
              <wp:posOffset>823595</wp:posOffset>
            </wp:positionV>
            <wp:extent cx="4067175" cy="2745105"/>
            <wp:effectExtent l="0" t="0" r="0" b="0"/>
            <wp:wrapTopAndBottom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" r="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038">
        <w:t>These results suggest that biosorption is responsible for the initial, rapid removal of Pb(II) from solution.</w:t>
      </w:r>
      <w:r w:rsidR="0050458B">
        <w:t xml:space="preserve"> </w:t>
      </w:r>
      <w:r w:rsidR="001167D9">
        <w:t>Since both biosorption and precipitation of Pb(II) occur on the surface, it is likely that</w:t>
      </w:r>
      <w:r w:rsidR="00CE6A04">
        <w:t xml:space="preserve"> the</w:t>
      </w:r>
      <w:r w:rsidR="001167D9">
        <w:t xml:space="preserve"> biosorption of lead ions onto bacteria cell walls is a necessary precursor to the precipitation of Pb(II) </w:t>
      </w:r>
      <w:r w:rsidR="00CE6A04">
        <w:t>to</w:t>
      </w:r>
      <w:r w:rsidR="001167D9">
        <w:t xml:space="preserve"> PbS or Pb(0).</w:t>
      </w:r>
      <w:r w:rsidR="00954713">
        <w:t xml:space="preserve"> More</w:t>
      </w:r>
      <w:r w:rsidR="00ED125C">
        <w:t xml:space="preserve"> intensive</w:t>
      </w:r>
      <w:r w:rsidR="00954713">
        <w:t xml:space="preserve"> biosorption investigations should be done to </w:t>
      </w:r>
      <w:r w:rsidR="00ED125C">
        <w:t xml:space="preserve">enable a detailed biosorption model that can be incorporated into models of microbial Pb(II) precipitation. </w:t>
      </w:r>
    </w:p>
    <w:p w14:paraId="58793B99" w14:textId="77777777" w:rsidR="00C20038" w:rsidRDefault="00C20038" w:rsidP="001C7F2D">
      <w:pPr>
        <w:pStyle w:val="CETBodytext"/>
      </w:pPr>
    </w:p>
    <w:p w14:paraId="3DF03E10" w14:textId="77777777" w:rsidR="00EB4BED" w:rsidRDefault="00EB4BED" w:rsidP="00EB4BED">
      <w:pPr>
        <w:pStyle w:val="Caption"/>
        <w:rPr>
          <w:b w:val="0"/>
          <w:bCs w:val="0"/>
          <w:i/>
          <w:iCs/>
          <w:color w:val="auto"/>
        </w:rPr>
      </w:pPr>
      <w:bookmarkStart w:id="1" w:name="_Ref59375307"/>
      <w:bookmarkStart w:id="2" w:name="_Ref59369116"/>
      <w:r w:rsidRPr="00561501">
        <w:rPr>
          <w:b w:val="0"/>
          <w:bCs w:val="0"/>
          <w:i/>
          <w:iCs/>
          <w:color w:val="auto"/>
        </w:rPr>
        <w:t xml:space="preserve">Figure </w:t>
      </w:r>
      <w:r w:rsidRPr="00561501">
        <w:rPr>
          <w:b w:val="0"/>
          <w:bCs w:val="0"/>
          <w:i/>
          <w:iCs/>
          <w:color w:val="auto"/>
        </w:rPr>
        <w:fldChar w:fldCharType="begin"/>
      </w:r>
      <w:r w:rsidRPr="00561501">
        <w:rPr>
          <w:b w:val="0"/>
          <w:bCs w:val="0"/>
          <w:i/>
          <w:iCs/>
          <w:color w:val="auto"/>
        </w:rPr>
        <w:instrText xml:space="preserve"> SEQ Figure \* ARABIC </w:instrText>
      </w:r>
      <w:r w:rsidRPr="00561501">
        <w:rPr>
          <w:b w:val="0"/>
          <w:bCs w:val="0"/>
          <w:i/>
          <w:iCs/>
          <w:color w:val="auto"/>
        </w:rPr>
        <w:fldChar w:fldCharType="separate"/>
      </w:r>
      <w:r>
        <w:rPr>
          <w:b w:val="0"/>
          <w:bCs w:val="0"/>
          <w:i/>
          <w:iCs/>
          <w:noProof/>
          <w:color w:val="auto"/>
        </w:rPr>
        <w:t>2</w:t>
      </w:r>
      <w:r w:rsidRPr="00561501">
        <w:rPr>
          <w:b w:val="0"/>
          <w:bCs w:val="0"/>
          <w:i/>
          <w:iCs/>
          <w:color w:val="auto"/>
        </w:rPr>
        <w:fldChar w:fldCharType="end"/>
      </w:r>
      <w:bookmarkEnd w:id="1"/>
      <w:r w:rsidRPr="00561501">
        <w:rPr>
          <w:b w:val="0"/>
          <w:bCs w:val="0"/>
          <w:i/>
          <w:iCs/>
          <w:color w:val="auto"/>
        </w:rPr>
        <w:t xml:space="preserve">: Percent lead remaining in solution as a function of time after the addition of </w:t>
      </w:r>
      <w:r w:rsidR="00CE6A04">
        <w:rPr>
          <w:b w:val="0"/>
          <w:bCs w:val="0"/>
          <w:i/>
          <w:iCs/>
          <w:color w:val="auto"/>
        </w:rPr>
        <w:t xml:space="preserve">the </w:t>
      </w:r>
      <w:r w:rsidRPr="00561501">
        <w:rPr>
          <w:b w:val="0"/>
          <w:bCs w:val="0"/>
          <w:i/>
          <w:iCs/>
          <w:color w:val="auto"/>
        </w:rPr>
        <w:t>NaN</w:t>
      </w:r>
      <w:r w:rsidRPr="00984282">
        <w:rPr>
          <w:b w:val="0"/>
          <w:bCs w:val="0"/>
          <w:i/>
          <w:iCs/>
          <w:color w:val="auto"/>
          <w:vertAlign w:val="subscript"/>
        </w:rPr>
        <w:t>3</w:t>
      </w:r>
      <w:r w:rsidRPr="00561501">
        <w:rPr>
          <w:b w:val="0"/>
          <w:bCs w:val="0"/>
          <w:i/>
          <w:iCs/>
          <w:color w:val="auto"/>
        </w:rPr>
        <w:t xml:space="preserve">-sterilized </w:t>
      </w:r>
      <w:r w:rsidR="00A005EF">
        <w:rPr>
          <w:b w:val="0"/>
          <w:bCs w:val="0"/>
          <w:i/>
          <w:iCs/>
          <w:color w:val="auto"/>
        </w:rPr>
        <w:t>consortium</w:t>
      </w:r>
      <w:r w:rsidRPr="00561501">
        <w:rPr>
          <w:b w:val="0"/>
          <w:bCs w:val="0"/>
          <w:i/>
          <w:iCs/>
          <w:color w:val="auto"/>
        </w:rPr>
        <w:t>.</w:t>
      </w:r>
    </w:p>
    <w:p w14:paraId="4489D1B7" w14:textId="77777777" w:rsidR="00C02DF8" w:rsidRPr="00C02DF8" w:rsidRDefault="00C02DF8" w:rsidP="00C02DF8">
      <w:pPr>
        <w:keepNext/>
        <w:tabs>
          <w:tab w:val="clear" w:pos="7100"/>
        </w:tabs>
        <w:spacing w:before="240" w:after="80" w:line="240" w:lineRule="exact"/>
        <w:jc w:val="left"/>
        <w:rPr>
          <w:i/>
        </w:rPr>
      </w:pPr>
      <w:r w:rsidRPr="00C02DF8">
        <w:rPr>
          <w:i/>
        </w:rPr>
        <w:t xml:space="preserve">Table 1: </w:t>
      </w:r>
      <w:r w:rsidR="00CF667D">
        <w:rPr>
          <w:i/>
        </w:rPr>
        <w:t>Comparison of lead removal by various bacteria.</w:t>
      </w:r>
    </w:p>
    <w:tbl>
      <w:tblPr>
        <w:tblW w:w="8931" w:type="dxa"/>
        <w:tblBorders>
          <w:top w:val="single" w:sz="12" w:space="0" w:color="008000"/>
          <w:bottom w:val="single" w:sz="12" w:space="0" w:color="008000"/>
        </w:tblBorders>
        <w:shd w:val="clear" w:color="auto" w:fill="FFFFFF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701"/>
        <w:gridCol w:w="1185"/>
        <w:gridCol w:w="2359"/>
        <w:gridCol w:w="921"/>
        <w:gridCol w:w="1178"/>
        <w:gridCol w:w="1587"/>
      </w:tblGrid>
      <w:tr w:rsidR="00B144C1" w:rsidRPr="00C02DF8" w14:paraId="5525ACAA" w14:textId="77777777" w:rsidTr="00B144C1">
        <w:tc>
          <w:tcPr>
            <w:tcW w:w="1701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FFFFFF"/>
          </w:tcPr>
          <w:p w14:paraId="763F3484" w14:textId="77777777" w:rsidR="00B144C1" w:rsidRPr="00C02DF8" w:rsidRDefault="00B144C1" w:rsidP="00B144C1">
            <w:pPr>
              <w:jc w:val="left"/>
            </w:pPr>
            <w:r>
              <w:t>Bacteria</w:t>
            </w:r>
            <w:r w:rsidRPr="00C02DF8">
              <w:t xml:space="preserve"> </w:t>
            </w:r>
          </w:p>
        </w:tc>
        <w:tc>
          <w:tcPr>
            <w:tcW w:w="1185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FFFFFF"/>
          </w:tcPr>
          <w:p w14:paraId="71CEA064" w14:textId="77777777" w:rsidR="00B144C1" w:rsidRDefault="00B144C1" w:rsidP="00B144C1">
            <w:pPr>
              <w:jc w:val="left"/>
            </w:pPr>
            <w:r>
              <w:t>Mass (mg)</w:t>
            </w:r>
          </w:p>
        </w:tc>
        <w:tc>
          <w:tcPr>
            <w:tcW w:w="2359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FFFFFF"/>
          </w:tcPr>
          <w:p w14:paraId="1EEC00A9" w14:textId="77777777" w:rsidR="00B144C1" w:rsidRPr="00C02DF8" w:rsidRDefault="00B144C1" w:rsidP="00B144C1">
            <w:pPr>
              <w:jc w:val="left"/>
            </w:pPr>
            <w:r>
              <w:t>Original Pb(II) concentration (mg 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921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FFFFFF"/>
          </w:tcPr>
          <w:p w14:paraId="5EE20F43" w14:textId="77777777" w:rsidR="00B144C1" w:rsidRPr="00C02DF8" w:rsidRDefault="00B144C1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Time (h)</w:t>
            </w:r>
          </w:p>
        </w:tc>
        <w:tc>
          <w:tcPr>
            <w:tcW w:w="1178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FFFFFF"/>
          </w:tcPr>
          <w:p w14:paraId="21705C34" w14:textId="77777777" w:rsidR="00B144C1" w:rsidRPr="00C02DF8" w:rsidRDefault="00B144C1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Percent removal</w:t>
            </w:r>
          </w:p>
        </w:tc>
        <w:tc>
          <w:tcPr>
            <w:tcW w:w="1587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FFFFFF"/>
          </w:tcPr>
          <w:p w14:paraId="6E8DE8B7" w14:textId="77777777" w:rsidR="00B144C1" w:rsidRDefault="00B144C1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Source</w:t>
            </w:r>
          </w:p>
        </w:tc>
      </w:tr>
      <w:tr w:rsidR="00B144C1" w:rsidRPr="00C02DF8" w14:paraId="77BCB9FC" w14:textId="77777777" w:rsidTr="00B144C1">
        <w:tc>
          <w:tcPr>
            <w:tcW w:w="1701" w:type="dxa"/>
            <w:shd w:val="clear" w:color="auto" w:fill="FFFFFF"/>
          </w:tcPr>
          <w:p w14:paraId="215DDD16" w14:textId="77777777" w:rsidR="00B144C1" w:rsidRPr="00C02DF8" w:rsidRDefault="00B144C1" w:rsidP="00B144C1">
            <w:pPr>
              <w:ind w:right="-181"/>
              <w:jc w:val="left"/>
              <w:rPr>
                <w:i/>
                <w:iCs/>
              </w:rPr>
            </w:pPr>
            <w:r w:rsidRPr="00C02DF8">
              <w:rPr>
                <w:i/>
                <w:iCs/>
              </w:rPr>
              <w:t xml:space="preserve">Acinetobacter junii </w:t>
            </w:r>
            <w:r w:rsidRPr="00C02DF8">
              <w:t>L. Pb1</w:t>
            </w:r>
          </w:p>
        </w:tc>
        <w:tc>
          <w:tcPr>
            <w:tcW w:w="1185" w:type="dxa"/>
            <w:shd w:val="clear" w:color="auto" w:fill="FFFFFF"/>
          </w:tcPr>
          <w:p w14:paraId="28F75AFA" w14:textId="77777777" w:rsidR="00B144C1" w:rsidRPr="00C02DF8" w:rsidRDefault="00B144C1" w:rsidP="00B144C1">
            <w:pPr>
              <w:jc w:val="left"/>
            </w:pPr>
            <w:r>
              <w:t>606</w:t>
            </w:r>
          </w:p>
        </w:tc>
        <w:tc>
          <w:tcPr>
            <w:tcW w:w="2359" w:type="dxa"/>
            <w:shd w:val="clear" w:color="auto" w:fill="FFFFFF"/>
          </w:tcPr>
          <w:p w14:paraId="3469F553" w14:textId="77777777" w:rsidR="00B144C1" w:rsidRPr="00C02DF8" w:rsidRDefault="00B144C1" w:rsidP="00B144C1">
            <w:pPr>
              <w:jc w:val="left"/>
            </w:pPr>
            <w:r>
              <w:t>100</w:t>
            </w:r>
          </w:p>
        </w:tc>
        <w:tc>
          <w:tcPr>
            <w:tcW w:w="921" w:type="dxa"/>
            <w:shd w:val="clear" w:color="auto" w:fill="FFFFFF"/>
          </w:tcPr>
          <w:p w14:paraId="5FF53616" w14:textId="77777777" w:rsidR="00B144C1" w:rsidRPr="00C02DF8" w:rsidRDefault="00B144C1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6 </w:t>
            </w:r>
          </w:p>
        </w:tc>
        <w:tc>
          <w:tcPr>
            <w:tcW w:w="1178" w:type="dxa"/>
            <w:shd w:val="clear" w:color="auto" w:fill="FFFFFF"/>
          </w:tcPr>
          <w:p w14:paraId="5D28C807" w14:textId="77777777" w:rsidR="00B144C1" w:rsidRPr="00C02DF8" w:rsidRDefault="00B144C1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74</w:t>
            </w:r>
          </w:p>
        </w:tc>
        <w:tc>
          <w:tcPr>
            <w:tcW w:w="1587" w:type="dxa"/>
            <w:shd w:val="clear" w:color="auto" w:fill="FFFFFF"/>
          </w:tcPr>
          <w:p w14:paraId="008E8CD0" w14:textId="77777777" w:rsidR="00B144C1" w:rsidRDefault="006E2B90" w:rsidP="00B144C1">
            <w:pPr>
              <w:ind w:right="-1"/>
              <w:jc w:val="left"/>
              <w:rPr>
                <w:rFonts w:cs="Arial"/>
                <w:szCs w:val="18"/>
              </w:rPr>
            </w:pPr>
            <w:r w:rsidRPr="002633D3">
              <w:rPr>
                <w:rFonts w:cs="Arial"/>
                <w:noProof/>
                <w:szCs w:val="18"/>
              </w:rPr>
              <w:t>Kushwaha et al</w:t>
            </w:r>
            <w:r>
              <w:rPr>
                <w:rFonts w:cs="Arial"/>
                <w:szCs w:val="18"/>
              </w:rPr>
              <w:t xml:space="preserve"> </w:t>
            </w:r>
            <w:r w:rsidRPr="006E2B90">
              <w:rPr>
                <w:rFonts w:cs="Arial"/>
                <w:noProof/>
                <w:szCs w:val="18"/>
              </w:rPr>
              <w:t>(2017)</w:t>
            </w:r>
          </w:p>
        </w:tc>
      </w:tr>
      <w:tr w:rsidR="00B144C1" w:rsidRPr="00C02DF8" w14:paraId="7BCC65E4" w14:textId="77777777" w:rsidTr="00B144C1">
        <w:tc>
          <w:tcPr>
            <w:tcW w:w="1701" w:type="dxa"/>
            <w:shd w:val="clear" w:color="auto" w:fill="FFFFFF"/>
          </w:tcPr>
          <w:p w14:paraId="1E38021E" w14:textId="77777777" w:rsidR="00B144C1" w:rsidRPr="00C02DF8" w:rsidRDefault="00B144C1" w:rsidP="00B144C1">
            <w:pPr>
              <w:ind w:right="-181"/>
              <w:jc w:val="left"/>
              <w:rPr>
                <w:i/>
                <w:iCs/>
              </w:rPr>
            </w:pPr>
            <w:r w:rsidRPr="002633D3">
              <w:rPr>
                <w:i/>
                <w:iCs/>
              </w:rPr>
              <w:t>Bacillus sp</w:t>
            </w:r>
            <w:r w:rsidRPr="002633D3">
              <w:t>. (ATS-1)</w:t>
            </w:r>
          </w:p>
        </w:tc>
        <w:tc>
          <w:tcPr>
            <w:tcW w:w="1185" w:type="dxa"/>
            <w:shd w:val="clear" w:color="auto" w:fill="FFFFFF"/>
          </w:tcPr>
          <w:p w14:paraId="65B60ACB" w14:textId="77777777" w:rsidR="00B144C1" w:rsidRDefault="00B144C1" w:rsidP="00B144C1">
            <w:pPr>
              <w:jc w:val="left"/>
            </w:pPr>
            <w:r>
              <w:t>2000</w:t>
            </w:r>
          </w:p>
        </w:tc>
        <w:tc>
          <w:tcPr>
            <w:tcW w:w="2359" w:type="dxa"/>
            <w:shd w:val="clear" w:color="auto" w:fill="FFFFFF"/>
          </w:tcPr>
          <w:p w14:paraId="13C8FC0B" w14:textId="77777777" w:rsidR="00B144C1" w:rsidRDefault="00B144C1" w:rsidP="00B144C1">
            <w:pPr>
              <w:jc w:val="left"/>
            </w:pPr>
            <w:r>
              <w:t>100</w:t>
            </w:r>
          </w:p>
        </w:tc>
        <w:tc>
          <w:tcPr>
            <w:tcW w:w="921" w:type="dxa"/>
            <w:shd w:val="clear" w:color="auto" w:fill="FFFFFF"/>
          </w:tcPr>
          <w:p w14:paraId="2079F3DC" w14:textId="77777777" w:rsidR="00B144C1" w:rsidRDefault="00B144C1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0.25</w:t>
            </w:r>
          </w:p>
        </w:tc>
        <w:tc>
          <w:tcPr>
            <w:tcW w:w="1178" w:type="dxa"/>
            <w:shd w:val="clear" w:color="auto" w:fill="FFFFFF"/>
          </w:tcPr>
          <w:p w14:paraId="018D0BCD" w14:textId="77777777" w:rsidR="00B144C1" w:rsidRDefault="00B144C1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74</w:t>
            </w:r>
          </w:p>
        </w:tc>
        <w:tc>
          <w:tcPr>
            <w:tcW w:w="1587" w:type="dxa"/>
            <w:shd w:val="clear" w:color="auto" w:fill="FFFFFF"/>
          </w:tcPr>
          <w:p w14:paraId="1B0A78E3" w14:textId="77777777" w:rsidR="00B144C1" w:rsidRDefault="006E2B90" w:rsidP="00B144C1">
            <w:pPr>
              <w:ind w:right="-1"/>
              <w:jc w:val="left"/>
              <w:rPr>
                <w:rFonts w:cs="Arial"/>
                <w:szCs w:val="18"/>
              </w:rPr>
            </w:pPr>
            <w:r w:rsidRPr="00EA2D19">
              <w:rPr>
                <w:rFonts w:cs="Arial"/>
                <w:noProof/>
                <w:szCs w:val="18"/>
              </w:rPr>
              <w:t>Tunali et al.</w:t>
            </w:r>
            <w:r>
              <w:rPr>
                <w:rFonts w:cs="Arial"/>
                <w:szCs w:val="18"/>
              </w:rPr>
              <w:t xml:space="preserve"> </w:t>
            </w:r>
            <w:r w:rsidRPr="006E2B90">
              <w:rPr>
                <w:rFonts w:cs="Arial"/>
                <w:noProof/>
                <w:szCs w:val="18"/>
              </w:rPr>
              <w:t>(2006)</w:t>
            </w:r>
          </w:p>
        </w:tc>
      </w:tr>
      <w:tr w:rsidR="00B144C1" w:rsidRPr="00C02DF8" w14:paraId="3A8D332D" w14:textId="77777777" w:rsidTr="00B144C1">
        <w:tc>
          <w:tcPr>
            <w:tcW w:w="1701" w:type="dxa"/>
            <w:shd w:val="clear" w:color="auto" w:fill="FFFFFF"/>
          </w:tcPr>
          <w:p w14:paraId="6B6DE7D4" w14:textId="77777777" w:rsidR="00B144C1" w:rsidRPr="00C02DF8" w:rsidRDefault="00B144C1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Battery recycling plant consortium</w:t>
            </w:r>
          </w:p>
        </w:tc>
        <w:tc>
          <w:tcPr>
            <w:tcW w:w="1185" w:type="dxa"/>
            <w:shd w:val="clear" w:color="auto" w:fill="FFFFFF"/>
          </w:tcPr>
          <w:p w14:paraId="7263AC52" w14:textId="77777777" w:rsidR="00B144C1" w:rsidRPr="00C02DF8" w:rsidRDefault="00B144C1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  <w:tc>
          <w:tcPr>
            <w:tcW w:w="2359" w:type="dxa"/>
            <w:shd w:val="clear" w:color="auto" w:fill="FFFFFF"/>
          </w:tcPr>
          <w:p w14:paraId="74D6ACD0" w14:textId="77777777" w:rsidR="00B144C1" w:rsidRPr="00C02DF8" w:rsidRDefault="00B144C1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80</w:t>
            </w:r>
          </w:p>
        </w:tc>
        <w:tc>
          <w:tcPr>
            <w:tcW w:w="921" w:type="dxa"/>
            <w:shd w:val="clear" w:color="auto" w:fill="FFFFFF"/>
          </w:tcPr>
          <w:p w14:paraId="6AB09E79" w14:textId="77777777" w:rsidR="00B144C1" w:rsidRPr="00C02DF8" w:rsidRDefault="00B144C1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178" w:type="dxa"/>
            <w:shd w:val="clear" w:color="auto" w:fill="FFFFFF"/>
          </w:tcPr>
          <w:p w14:paraId="14BC6BFD" w14:textId="77777777" w:rsidR="00B144C1" w:rsidRPr="00C02DF8" w:rsidRDefault="00B144C1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50</w:t>
            </w:r>
          </w:p>
        </w:tc>
        <w:tc>
          <w:tcPr>
            <w:tcW w:w="1587" w:type="dxa"/>
            <w:shd w:val="clear" w:color="auto" w:fill="FFFFFF"/>
          </w:tcPr>
          <w:p w14:paraId="1B878F32" w14:textId="77777777" w:rsidR="00B144C1" w:rsidRPr="00C02DF8" w:rsidRDefault="006E2B90" w:rsidP="00B144C1">
            <w:pPr>
              <w:ind w:right="-1"/>
              <w:jc w:val="left"/>
              <w:rPr>
                <w:rFonts w:cs="Arial"/>
                <w:szCs w:val="18"/>
              </w:rPr>
            </w:pPr>
            <w:r w:rsidRPr="00413CD4">
              <w:rPr>
                <w:rFonts w:eastAsia="Calibri"/>
                <w:noProof/>
              </w:rPr>
              <w:t xml:space="preserve">Hörstmann et al. </w:t>
            </w:r>
            <w:r w:rsidRPr="006E2B90">
              <w:rPr>
                <w:rFonts w:cs="Arial"/>
                <w:noProof/>
                <w:szCs w:val="18"/>
              </w:rPr>
              <w:t>(2020)</w:t>
            </w:r>
          </w:p>
        </w:tc>
      </w:tr>
      <w:tr w:rsidR="00B144C1" w:rsidRPr="00C02DF8" w14:paraId="2DB3D5F1" w14:textId="77777777" w:rsidTr="00B144C1">
        <w:tc>
          <w:tcPr>
            <w:tcW w:w="1701" w:type="dxa"/>
            <w:shd w:val="clear" w:color="auto" w:fill="FFFFFF"/>
          </w:tcPr>
          <w:p w14:paraId="55F12029" w14:textId="77777777" w:rsidR="00B144C1" w:rsidRDefault="00B144C1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Battery recycling plant consortium</w:t>
            </w:r>
          </w:p>
        </w:tc>
        <w:tc>
          <w:tcPr>
            <w:tcW w:w="1185" w:type="dxa"/>
            <w:shd w:val="clear" w:color="auto" w:fill="FFFFFF"/>
          </w:tcPr>
          <w:p w14:paraId="1E6BA46E" w14:textId="77777777" w:rsidR="00B144C1" w:rsidRDefault="00CF667D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47.5</w:t>
            </w:r>
          </w:p>
        </w:tc>
        <w:tc>
          <w:tcPr>
            <w:tcW w:w="2359" w:type="dxa"/>
            <w:shd w:val="clear" w:color="auto" w:fill="FFFFFF"/>
          </w:tcPr>
          <w:p w14:paraId="228FDA24" w14:textId="77777777" w:rsidR="00B144C1" w:rsidRDefault="00CF667D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150</w:t>
            </w:r>
          </w:p>
        </w:tc>
        <w:tc>
          <w:tcPr>
            <w:tcW w:w="921" w:type="dxa"/>
            <w:shd w:val="clear" w:color="auto" w:fill="FFFFFF"/>
          </w:tcPr>
          <w:p w14:paraId="03B06A2D" w14:textId="77777777" w:rsidR="00B144C1" w:rsidRDefault="00CF667D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178" w:type="dxa"/>
            <w:shd w:val="clear" w:color="auto" w:fill="FFFFFF"/>
          </w:tcPr>
          <w:p w14:paraId="21E604AF" w14:textId="77777777" w:rsidR="00B144C1" w:rsidRDefault="00CF667D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63</w:t>
            </w:r>
          </w:p>
        </w:tc>
        <w:tc>
          <w:tcPr>
            <w:tcW w:w="1587" w:type="dxa"/>
            <w:shd w:val="clear" w:color="auto" w:fill="FFFFFF"/>
          </w:tcPr>
          <w:p w14:paraId="104E7A3B" w14:textId="77777777" w:rsidR="00B144C1" w:rsidRDefault="00B144C1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This study</w:t>
            </w:r>
          </w:p>
        </w:tc>
      </w:tr>
      <w:tr w:rsidR="001A2C91" w:rsidRPr="00C02DF8" w14:paraId="1BAB61AC" w14:textId="77777777" w:rsidTr="00B144C1">
        <w:tc>
          <w:tcPr>
            <w:tcW w:w="1701" w:type="dxa"/>
            <w:shd w:val="clear" w:color="auto" w:fill="FFFFFF"/>
          </w:tcPr>
          <w:p w14:paraId="67235457" w14:textId="77777777" w:rsidR="001A2C91" w:rsidRPr="00CF667D" w:rsidRDefault="00CF667D" w:rsidP="00B144C1">
            <w:pPr>
              <w:ind w:right="-1"/>
              <w:jc w:val="left"/>
              <w:rPr>
                <w:rFonts w:cs="Arial"/>
                <w:i/>
                <w:iCs/>
                <w:szCs w:val="18"/>
              </w:rPr>
            </w:pPr>
            <w:r w:rsidRPr="00CF667D">
              <w:rPr>
                <w:rFonts w:cs="Arial"/>
                <w:i/>
                <w:iCs/>
                <w:szCs w:val="18"/>
              </w:rPr>
              <w:t>Rhodococcus sp. HX-2</w:t>
            </w:r>
          </w:p>
        </w:tc>
        <w:tc>
          <w:tcPr>
            <w:tcW w:w="1185" w:type="dxa"/>
            <w:shd w:val="clear" w:color="auto" w:fill="FFFFFF"/>
          </w:tcPr>
          <w:p w14:paraId="51678CFC" w14:textId="77777777" w:rsidR="001A2C91" w:rsidRDefault="001A2C91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750</w:t>
            </w:r>
          </w:p>
        </w:tc>
        <w:tc>
          <w:tcPr>
            <w:tcW w:w="2359" w:type="dxa"/>
            <w:shd w:val="clear" w:color="auto" w:fill="FFFFFF"/>
          </w:tcPr>
          <w:p w14:paraId="0C98714C" w14:textId="77777777" w:rsidR="001A2C91" w:rsidRDefault="00CF667D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200</w:t>
            </w:r>
          </w:p>
        </w:tc>
        <w:tc>
          <w:tcPr>
            <w:tcW w:w="921" w:type="dxa"/>
            <w:shd w:val="clear" w:color="auto" w:fill="FFFFFF"/>
          </w:tcPr>
          <w:p w14:paraId="4F3F2A9A" w14:textId="77777777" w:rsidR="001A2C91" w:rsidRDefault="00CF667D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0.5</w:t>
            </w:r>
          </w:p>
        </w:tc>
        <w:tc>
          <w:tcPr>
            <w:tcW w:w="1178" w:type="dxa"/>
            <w:shd w:val="clear" w:color="auto" w:fill="FFFFFF"/>
          </w:tcPr>
          <w:p w14:paraId="4552466A" w14:textId="77777777" w:rsidR="001A2C91" w:rsidRDefault="00A95155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47</w:t>
            </w:r>
          </w:p>
        </w:tc>
        <w:tc>
          <w:tcPr>
            <w:tcW w:w="1587" w:type="dxa"/>
            <w:shd w:val="clear" w:color="auto" w:fill="FFFFFF"/>
          </w:tcPr>
          <w:p w14:paraId="00641CA4" w14:textId="77777777" w:rsidR="001A2C91" w:rsidRDefault="006E2B90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Hu et al., </w:t>
            </w:r>
            <w:r w:rsidRPr="006E2B90">
              <w:rPr>
                <w:rFonts w:cs="Arial"/>
                <w:noProof/>
                <w:szCs w:val="18"/>
              </w:rPr>
              <w:t>(2020)</w:t>
            </w:r>
          </w:p>
        </w:tc>
      </w:tr>
      <w:tr w:rsidR="006E2B90" w:rsidRPr="00C02DF8" w14:paraId="12FF676F" w14:textId="77777777" w:rsidTr="00B144C1">
        <w:tc>
          <w:tcPr>
            <w:tcW w:w="1701" w:type="dxa"/>
            <w:shd w:val="clear" w:color="auto" w:fill="FFFFFF"/>
          </w:tcPr>
          <w:p w14:paraId="18CECFC4" w14:textId="77777777" w:rsidR="006E2B90" w:rsidRPr="00CF667D" w:rsidRDefault="006E2B90" w:rsidP="00B144C1">
            <w:pPr>
              <w:ind w:right="-1"/>
              <w:jc w:val="left"/>
              <w:rPr>
                <w:rFonts w:cs="Arial"/>
                <w:i/>
                <w:iCs/>
                <w:szCs w:val="18"/>
              </w:rPr>
            </w:pPr>
            <w:r w:rsidRPr="006E2B90">
              <w:rPr>
                <w:rFonts w:cs="Arial"/>
                <w:i/>
                <w:iCs/>
                <w:szCs w:val="18"/>
              </w:rPr>
              <w:t>Streptomyces rimosus</w:t>
            </w:r>
          </w:p>
        </w:tc>
        <w:tc>
          <w:tcPr>
            <w:tcW w:w="1185" w:type="dxa"/>
            <w:shd w:val="clear" w:color="auto" w:fill="FFFFFF"/>
          </w:tcPr>
          <w:p w14:paraId="5105509E" w14:textId="77777777" w:rsidR="006E2B90" w:rsidRDefault="006E2B90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3000</w:t>
            </w:r>
          </w:p>
        </w:tc>
        <w:tc>
          <w:tcPr>
            <w:tcW w:w="2359" w:type="dxa"/>
            <w:shd w:val="clear" w:color="auto" w:fill="FFFFFF"/>
          </w:tcPr>
          <w:p w14:paraId="53F2A300" w14:textId="77777777" w:rsidR="006E2B90" w:rsidRDefault="006E2B90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500</w:t>
            </w:r>
          </w:p>
        </w:tc>
        <w:tc>
          <w:tcPr>
            <w:tcW w:w="921" w:type="dxa"/>
            <w:shd w:val="clear" w:color="auto" w:fill="FFFFFF"/>
          </w:tcPr>
          <w:p w14:paraId="1E641C88" w14:textId="77777777" w:rsidR="006E2B90" w:rsidRDefault="006E2B90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178" w:type="dxa"/>
            <w:shd w:val="clear" w:color="auto" w:fill="FFFFFF"/>
          </w:tcPr>
          <w:p w14:paraId="01A7459B" w14:textId="77777777" w:rsidR="006E2B90" w:rsidRDefault="006E2B90" w:rsidP="00B144C1">
            <w:pPr>
              <w:ind w:right="-1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20</w:t>
            </w:r>
          </w:p>
        </w:tc>
        <w:tc>
          <w:tcPr>
            <w:tcW w:w="1587" w:type="dxa"/>
            <w:shd w:val="clear" w:color="auto" w:fill="FFFFFF"/>
          </w:tcPr>
          <w:p w14:paraId="092607A1" w14:textId="77777777" w:rsidR="006E2B90" w:rsidRDefault="006E2B90" w:rsidP="00B144C1">
            <w:pPr>
              <w:ind w:right="-1"/>
              <w:jc w:val="left"/>
              <w:rPr>
                <w:rFonts w:cs="Arial"/>
                <w:szCs w:val="18"/>
              </w:rPr>
            </w:pPr>
            <w:r w:rsidRPr="006E2B90">
              <w:rPr>
                <w:rFonts w:cs="Arial"/>
                <w:noProof/>
                <w:szCs w:val="18"/>
              </w:rPr>
              <w:t>(Selatnia et al., 2004)</w:t>
            </w:r>
          </w:p>
        </w:tc>
      </w:tr>
    </w:tbl>
    <w:p w14:paraId="6B2FD84A" w14:textId="77777777" w:rsidR="00C02DF8" w:rsidRPr="00C02DF8" w:rsidRDefault="00C02DF8" w:rsidP="00C02DF8"/>
    <w:bookmarkEnd w:id="2"/>
    <w:p w14:paraId="2589719A" w14:textId="77777777" w:rsidR="005E7E54" w:rsidRDefault="00040FCB" w:rsidP="00CA0B16">
      <w:pPr>
        <w:pStyle w:val="CETHeading1"/>
        <w:numPr>
          <w:ilvl w:val="0"/>
          <w:numId w:val="0"/>
        </w:numPr>
      </w:pPr>
      <w:r>
        <w:t>Conclusions</w:t>
      </w:r>
    </w:p>
    <w:p w14:paraId="24D7F398" w14:textId="77777777" w:rsidR="00DB6A66" w:rsidRPr="00C32B78" w:rsidRDefault="008F569A" w:rsidP="00DB6A66">
      <w:pPr>
        <w:pStyle w:val="CETBodytext"/>
      </w:pPr>
      <w:r>
        <w:t>Sodium azide successfully inhibited metabolic activity</w:t>
      </w:r>
      <w:r w:rsidR="00CE6A04">
        <w:t xml:space="preserve"> of the consortium</w:t>
      </w:r>
      <w:r>
        <w:t xml:space="preserve"> without damaging the cell walls of bacteri</w:t>
      </w:r>
      <w:r w:rsidR="00CE6A04">
        <w:t>a</w:t>
      </w:r>
      <w:r>
        <w:t xml:space="preserve">, allowing for </w:t>
      </w:r>
      <w:r w:rsidR="00DB6A66">
        <w:t xml:space="preserve">Pb(II) removal </w:t>
      </w:r>
      <w:r w:rsidR="0050458B">
        <w:t xml:space="preserve">through abiotic mechanisms to be studied. It was found that </w:t>
      </w:r>
      <w:r w:rsidR="00C20038">
        <w:t>61.7</w:t>
      </w:r>
      <w:r w:rsidR="00661FFB">
        <w:t xml:space="preserve"> </w:t>
      </w:r>
      <w:r w:rsidR="00661FFB">
        <w:rPr>
          <w:rFonts w:ascii="Calibri" w:hAnsi="Calibri" w:cs="Calibri"/>
        </w:rPr>
        <w:t>±</w:t>
      </w:r>
      <w:r w:rsidR="00661FFB">
        <w:t xml:space="preserve"> 4.86</w:t>
      </w:r>
      <w:r w:rsidR="00C20038">
        <w:t xml:space="preserve"> % of </w:t>
      </w:r>
      <w:r w:rsidR="0050458B">
        <w:t>Pb(II) is removed in 3 h by non-living bacteria.</w:t>
      </w:r>
      <w:r w:rsidR="00661FFB">
        <w:t xml:space="preserve"> </w:t>
      </w:r>
      <w:r w:rsidR="00CE6A04">
        <w:t xml:space="preserve">FTIR spectroscopy supported the chemisorption of lead onto functional groups as being responsible for this removal. </w:t>
      </w:r>
      <w:r w:rsidR="00661FFB">
        <w:t>The amount of consortium dosed and the initial Pb(II) concentrations used were found to have a non-linear effect on lead removal, with Pb(II) concentration gradient being a limiting factor at concentrations</w:t>
      </w:r>
      <w:r w:rsidR="00C32B78">
        <w:t xml:space="preserve"> less than 150 mg L</w:t>
      </w:r>
      <w:r w:rsidR="00C32B78">
        <w:rPr>
          <w:vertAlign w:val="superscript"/>
        </w:rPr>
        <w:t>-1</w:t>
      </w:r>
      <w:r w:rsidR="00C32B78">
        <w:t xml:space="preserve"> whereas</w:t>
      </w:r>
      <w:r w:rsidR="00661FFB">
        <w:t xml:space="preserve"> </w:t>
      </w:r>
      <w:r w:rsidR="00C32B78">
        <w:t>binding sites become the limiting factor above 150 mg L</w:t>
      </w:r>
      <w:r w:rsidR="00C32B78">
        <w:rPr>
          <w:vertAlign w:val="superscript"/>
        </w:rPr>
        <w:t>-1</w:t>
      </w:r>
      <w:r w:rsidR="00C32B78">
        <w:t>.</w:t>
      </w:r>
      <w:r w:rsidR="00ED125C">
        <w:t xml:space="preserve"> These results pave the way for future studies to do</w:t>
      </w:r>
      <w:r w:rsidR="001A5632">
        <w:t xml:space="preserve"> more</w:t>
      </w:r>
      <w:r w:rsidR="00ED125C">
        <w:t xml:space="preserve"> detailed abiotic lead removal experimentation. </w:t>
      </w:r>
    </w:p>
    <w:p w14:paraId="0BA8CF1C" w14:textId="4795C04D" w:rsidR="00483017" w:rsidRPr="00483017" w:rsidRDefault="004C6C8F" w:rsidP="00483017">
      <w:pPr>
        <w:pStyle w:val="CETBody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98F88" wp14:editId="6AC94CD7">
            <wp:simplePos x="0" y="0"/>
            <wp:positionH relativeFrom="column">
              <wp:posOffset>-3810</wp:posOffset>
            </wp:positionH>
            <wp:positionV relativeFrom="paragraph">
              <wp:posOffset>142875</wp:posOffset>
            </wp:positionV>
            <wp:extent cx="4198620" cy="2733040"/>
            <wp:effectExtent l="0" t="0" r="0" b="0"/>
            <wp:wrapTopAndBottom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E242F" w14:textId="77777777" w:rsidR="00EB4BED" w:rsidRPr="00561501" w:rsidRDefault="00EB4BED" w:rsidP="00EB4BED">
      <w:pPr>
        <w:pStyle w:val="Caption"/>
        <w:rPr>
          <w:b w:val="0"/>
          <w:bCs w:val="0"/>
          <w:i/>
          <w:iCs/>
          <w:color w:val="auto"/>
        </w:rPr>
      </w:pPr>
      <w:bookmarkStart w:id="3" w:name="_Ref59399637"/>
      <w:r w:rsidRPr="00561501">
        <w:rPr>
          <w:b w:val="0"/>
          <w:bCs w:val="0"/>
          <w:i/>
          <w:iCs/>
          <w:color w:val="auto"/>
        </w:rPr>
        <w:t xml:space="preserve">Figure </w:t>
      </w:r>
      <w:r w:rsidRPr="00561501">
        <w:rPr>
          <w:b w:val="0"/>
          <w:bCs w:val="0"/>
          <w:i/>
          <w:iCs/>
          <w:color w:val="auto"/>
        </w:rPr>
        <w:fldChar w:fldCharType="begin"/>
      </w:r>
      <w:r w:rsidRPr="00561501">
        <w:rPr>
          <w:b w:val="0"/>
          <w:bCs w:val="0"/>
          <w:i/>
          <w:iCs/>
          <w:color w:val="auto"/>
        </w:rPr>
        <w:instrText xml:space="preserve"> SEQ Figure \* ARABIC </w:instrText>
      </w:r>
      <w:r w:rsidRPr="00561501">
        <w:rPr>
          <w:b w:val="0"/>
          <w:bCs w:val="0"/>
          <w:i/>
          <w:iCs/>
          <w:color w:val="auto"/>
        </w:rPr>
        <w:fldChar w:fldCharType="separate"/>
      </w:r>
      <w:r w:rsidRPr="00561501">
        <w:rPr>
          <w:b w:val="0"/>
          <w:bCs w:val="0"/>
          <w:i/>
          <w:iCs/>
          <w:noProof/>
          <w:color w:val="auto"/>
        </w:rPr>
        <w:t>3</w:t>
      </w:r>
      <w:r w:rsidRPr="00561501">
        <w:rPr>
          <w:b w:val="0"/>
          <w:bCs w:val="0"/>
          <w:i/>
          <w:iCs/>
          <w:color w:val="auto"/>
        </w:rPr>
        <w:fldChar w:fldCharType="end"/>
      </w:r>
      <w:bookmarkEnd w:id="3"/>
      <w:r w:rsidRPr="00561501">
        <w:rPr>
          <w:b w:val="0"/>
          <w:bCs w:val="0"/>
          <w:i/>
          <w:iCs/>
          <w:color w:val="auto"/>
        </w:rPr>
        <w:t>: The effects of</w:t>
      </w:r>
      <w:r w:rsidR="00A005EF">
        <w:rPr>
          <w:b w:val="0"/>
          <w:bCs w:val="0"/>
          <w:i/>
          <w:iCs/>
          <w:color w:val="auto"/>
        </w:rPr>
        <w:t xml:space="preserve"> NaN</w:t>
      </w:r>
      <w:r w:rsidR="00A005EF">
        <w:rPr>
          <w:b w:val="0"/>
          <w:bCs w:val="0"/>
          <w:i/>
          <w:iCs/>
          <w:color w:val="auto"/>
          <w:vertAlign w:val="subscript"/>
        </w:rPr>
        <w:t>3</w:t>
      </w:r>
      <w:r w:rsidR="00A005EF">
        <w:rPr>
          <w:b w:val="0"/>
          <w:bCs w:val="0"/>
          <w:i/>
          <w:iCs/>
          <w:color w:val="auto"/>
        </w:rPr>
        <w:t>-sterilized</w:t>
      </w:r>
      <w:r w:rsidRPr="00561501">
        <w:rPr>
          <w:b w:val="0"/>
          <w:bCs w:val="0"/>
          <w:i/>
          <w:iCs/>
          <w:color w:val="auto"/>
        </w:rPr>
        <w:t xml:space="preserve"> </w:t>
      </w:r>
      <w:r w:rsidR="00A005EF">
        <w:rPr>
          <w:b w:val="0"/>
          <w:bCs w:val="0"/>
          <w:i/>
          <w:iCs/>
          <w:color w:val="auto"/>
        </w:rPr>
        <w:t>bacteria</w:t>
      </w:r>
      <w:r w:rsidRPr="00561501">
        <w:rPr>
          <w:b w:val="0"/>
          <w:bCs w:val="0"/>
          <w:i/>
          <w:iCs/>
          <w:color w:val="auto"/>
        </w:rPr>
        <w:t xml:space="preserve"> concentration and initial Pb(II) concentration on lead removal. The concentration of bacteria is given as a dry mass.</w:t>
      </w:r>
    </w:p>
    <w:p w14:paraId="2D5F1610" w14:textId="77777777" w:rsidR="00600535" w:rsidRPr="00B57B36" w:rsidRDefault="00600535" w:rsidP="00600535">
      <w:pPr>
        <w:pStyle w:val="CETAcknowledgementstitle"/>
      </w:pPr>
      <w:r w:rsidRPr="00B57B36">
        <w:t>Acknowledgments</w:t>
      </w:r>
    </w:p>
    <w:p w14:paraId="33DE285F" w14:textId="77777777" w:rsidR="00600535" w:rsidRPr="00B57B36" w:rsidRDefault="00040FCB" w:rsidP="00040FCB">
      <w:pPr>
        <w:pStyle w:val="CETBodytext"/>
        <w:rPr>
          <w:lang w:val="en-GB"/>
        </w:rPr>
      </w:pPr>
      <w:r w:rsidRPr="00040FCB">
        <w:rPr>
          <w:lang w:val="en-GB"/>
        </w:rPr>
        <w:t>This work is based on the research supported in part by the National Research Foundation of South</w:t>
      </w:r>
      <w:r w:rsidR="001A5632">
        <w:rPr>
          <w:lang w:val="en-GB"/>
        </w:rPr>
        <w:t xml:space="preserve"> </w:t>
      </w:r>
      <w:r w:rsidRPr="00040FCB">
        <w:rPr>
          <w:lang w:val="en-GB"/>
        </w:rPr>
        <w:t xml:space="preserve">Africa (Grant Numbers 106938 and </w:t>
      </w:r>
      <w:r w:rsidR="001A5632">
        <w:rPr>
          <w:lang w:val="en-GB"/>
        </w:rPr>
        <w:t>123022</w:t>
      </w:r>
      <w:r>
        <w:rPr>
          <w:lang w:val="en-GB"/>
        </w:rPr>
        <w:t>).</w:t>
      </w:r>
    </w:p>
    <w:p w14:paraId="6CBFA611" w14:textId="77777777" w:rsidR="00600535" w:rsidRPr="00B57B36" w:rsidRDefault="00600535" w:rsidP="00600535">
      <w:pPr>
        <w:pStyle w:val="CETReference"/>
      </w:pPr>
      <w:r w:rsidRPr="00B57B36">
        <w:t>References</w:t>
      </w:r>
    </w:p>
    <w:p w14:paraId="0F52C70D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Ahmed, Y.M., Mamun, A. Al, Muyibi, S.A., Al-Khatib, M.F.R., Jameel, A.T., AlSaadi, M.A., 2010. Effect of Adsorbate Initial Concentration on the Removal of Pb from Aqueous Solutions by Carbon Nanofibers, in: 24th Symposium of Malaysian Chemical Engineers (SOMChE 2010) and 1st International Conference on Process Engineering and Advanced Materials 2010 (ICPEAM2010). Kuala Lumpur, pp. 15–17.</w:t>
      </w:r>
    </w:p>
    <w:p w14:paraId="75AAEE59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Brink, H.G., Lategan, M., Naudé, K., Chirwa, E.M.N., 2017. Int. Conf. Energy, Environ. Clim.</w:t>
      </w:r>
    </w:p>
    <w:p w14:paraId="3986C81D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Cabrol, L., Quéméneur, M., Misson, B., 2017. J. Microbiol. Methods 133, 62–65.</w:t>
      </w:r>
    </w:p>
    <w:p w14:paraId="02B7DD13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Chang, J.S., Law, R., Chang, C.C., 1997. Water Res. 31, 1651–1658.</w:t>
      </w:r>
    </w:p>
    <w:p w14:paraId="62A8E1E4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Dittrich, M., Sibler, S., 2005. J. Colloid Interface Sci. 286, 487–495.</w:t>
      </w:r>
    </w:p>
    <w:p w14:paraId="03EEC652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Fein, J.B., Daughney, C.J., Yee, N., Davis, T.A., 1997. Geochim. Cosmochim. Acta 61, 3319–3328.</w:t>
      </w:r>
    </w:p>
    <w:p w14:paraId="7A3ADDC6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Fomina, M., Gadd, G.M., 2014. Bioresour. Technol. 160, 3–14.</w:t>
      </w:r>
    </w:p>
    <w:p w14:paraId="3F5AF8A7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Francioso, O., Rodriguez-Estrada, M.T., Montecchio, D., Salomoni, C., Caputo, A., Palenzona, D., 2010. J. Hazard. Mater. 175, 740–746.</w:t>
      </w:r>
    </w:p>
    <w:p w14:paraId="20020519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Fu, F., Wang, Q., 2011. J. Environ. Manage. 92, 407–418.</w:t>
      </w:r>
    </w:p>
    <w:p w14:paraId="088A4F2D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Haas, J.R., Dichristina, T.J., Wade, R., 2001. Chem. Geol. 180, 33–54.</w:t>
      </w:r>
    </w:p>
    <w:p w14:paraId="3D0C2293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Hörstmann, C., Brink, H.G., Chirwa, E.M.N., 2020. Sustainabilty.</w:t>
      </w:r>
    </w:p>
    <w:p w14:paraId="15974835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Hu, X., Cao, J., Yang, H., Li, D., Qiao, Y., Zhao, J., Zhang, Z., Huang, L., 2020. PLoS One 15.</w:t>
      </w:r>
    </w:p>
    <w:p w14:paraId="67B9D4D2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Kang, C.H., Oh, S.J., Shin, Y.J., Han, S.H., Nam, I.H., So, J.S., 2015. Ecol. Eng. 74, 402–407.</w:t>
      </w:r>
    </w:p>
    <w:p w14:paraId="5F2665A3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Kushwaha, A., Rani, R., Kumar, S., Thomas, T., David, A.A., Ahmed, M., 2017. Environ. Sci. Pollut. Res. 24, 10652–10661.</w:t>
      </w:r>
    </w:p>
    <w:p w14:paraId="5F1606E3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Lieber, E., Rao, C.N.R., Dingle, H.E., Teetsov, J., 1966. J. Chem. Eng. Data 11, 105.</w:t>
      </w:r>
    </w:p>
    <w:p w14:paraId="6B132926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lastRenderedPageBreak/>
        <w:t>Liu, Y., Alessi, D.S., Owttrim, G.W., Kenney, J.P.L., Zhou, Q., Lalonde, S. V., Konhauser, K.O., 2016. Geochim. Cosmochim. Acta 187, 179–194.</w:t>
      </w:r>
    </w:p>
    <w:p w14:paraId="591E8C37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Liu, Z., Huang, Y., Zhao, G., 2016. BioResources 11, 3178–3190.</w:t>
      </w:r>
    </w:p>
    <w:p w14:paraId="03F60C1A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Lu, H., Zhang, W., Yang, Y., Huang, X., Wang, S., Qiu, R., 2012. Water Res. 46, 854–862.</w:t>
      </w:r>
    </w:p>
    <w:p w14:paraId="113AE710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Masoumi, F., Khadivinia, E., Alidoust, L., Mansourinejad, Z., Shahryari, S., Safaei, M., Mousavi, A., Salmanian, A.H., Zahiri, H.S., Vali, H., Noghabi, K.A., 2016. J. Environ. Chem. Eng. 4, 950–957.</w:t>
      </w:r>
    </w:p>
    <w:p w14:paraId="1BBF0B56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Mathew, B.B., Krishnamurthy, N.B., 2018. Groundw. Sustain. Dev. 7, 313–327.</w:t>
      </w:r>
    </w:p>
    <w:p w14:paraId="0B229067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Naik, M.M., Khanolkar, D., Dubey, S.K., 2013. Ecotoxicol. Environ. Saf. 98, 1–7.</w:t>
      </w:r>
    </w:p>
    <w:p w14:paraId="480A6EB3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Ngwenya, B.T., Sutherland, I.W., Kennedy, L., 2003. Appl. Geochemistry 18, 527–538.</w:t>
      </w:r>
    </w:p>
    <w:p w14:paraId="5345941B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Peens, J., 2018. Pb (II)-Removal From Water Using Microorganisms Naturally Evolved to Tolerate Pb(II)-Toxicity. University of Pretoria, Pretoria.</w:t>
      </w:r>
    </w:p>
    <w:p w14:paraId="2F4FA9CC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Peens, J., Wu, W.Y., Brink, H.G., 2018. Chem. Eng. Trans. 64, 439–444.</w:t>
      </w:r>
    </w:p>
    <w:p w14:paraId="1E31D6B8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Puyen, Z.M., Villagrasa, E., Maldonado, J., Diestra, E., Esteve, I., Solé, A., 2012. Bioresour. Technol. 126, 233–237.</w:t>
      </w:r>
    </w:p>
    <w:p w14:paraId="790721FD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Salehizadeh, H., Shojaosadati, S.A., 2003. Water Res. 37, 4231–4235.</w:t>
      </w:r>
    </w:p>
    <w:p w14:paraId="21AFDC40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Selatnia, A., Boukazoula, A., Kechid, N., Bakhti, M.Z., Chergui, A., Kerchich, Y., 2004. Biochem. Eng. J. 19, 127–135.</w:t>
      </w:r>
    </w:p>
    <w:p w14:paraId="72A1481B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Tao, P., Li, Y., Rungta, A., Viswanath, A., Gao, J., Benicewicz, B.C., Siegel, R.W., Schadler, L.S., 2011. J. Mater. Chem. 21, 18623–18629.</w:t>
      </w:r>
    </w:p>
    <w:p w14:paraId="3058313D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Tunali, S., Çabuk, A., Akar, T., 2006. Chem. Eng. J. 115, 203–211.</w:t>
      </w:r>
    </w:p>
    <w:p w14:paraId="4265CDB2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  <w:szCs w:val="24"/>
        </w:rPr>
      </w:pPr>
      <w:r w:rsidRPr="006E2B90">
        <w:rPr>
          <w:rFonts w:cs="Arial"/>
          <w:noProof/>
          <w:szCs w:val="24"/>
        </w:rPr>
        <w:t>Uslu, G., Tanyol, M., 2006. J. Hazard. Mater. 135, 87–93.</w:t>
      </w:r>
    </w:p>
    <w:p w14:paraId="56910C04" w14:textId="77777777" w:rsidR="006E2B90" w:rsidRPr="006E2B90" w:rsidRDefault="006E2B90" w:rsidP="006E2B9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Arial"/>
          <w:noProof/>
        </w:rPr>
      </w:pPr>
      <w:r w:rsidRPr="006E2B90">
        <w:rPr>
          <w:rFonts w:cs="Arial"/>
          <w:noProof/>
          <w:szCs w:val="24"/>
        </w:rPr>
        <w:t>Vijayaraghavan, K., Yun, Y.S., 2008. Biotechnol. Adv. 26, 266–291.</w:t>
      </w:r>
    </w:p>
    <w:p w14:paraId="1586D3F1" w14:textId="77777777" w:rsidR="006B4888" w:rsidRPr="000D56D6" w:rsidRDefault="006B4888" w:rsidP="00C03166">
      <w:pPr>
        <w:pStyle w:val="CETReferencetext"/>
        <w:ind w:left="0" w:firstLine="0"/>
      </w:pPr>
    </w:p>
    <w:p w14:paraId="707D79E6" w14:textId="77777777" w:rsidR="004628D2" w:rsidRDefault="004628D2" w:rsidP="00FA5F5F">
      <w:pPr>
        <w:pStyle w:val="CETHeading1"/>
        <w:numPr>
          <w:ilvl w:val="0"/>
          <w:numId w:val="0"/>
        </w:numPr>
      </w:pPr>
    </w:p>
    <w:sectPr w:rsidR="004628D2" w:rsidSect="00EF06D9">
      <w:type w:val="continuous"/>
      <w:pgSz w:w="11906" w:h="16838" w:code="9"/>
      <w:pgMar w:top="1701" w:right="1418" w:bottom="1701" w:left="1701" w:header="1701" w:footer="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9A2D5" w14:textId="77777777" w:rsidR="0050463B" w:rsidRDefault="0050463B" w:rsidP="004F5E36">
      <w:r>
        <w:separator/>
      </w:r>
    </w:p>
  </w:endnote>
  <w:endnote w:type="continuationSeparator" w:id="0">
    <w:p w14:paraId="79040ECC" w14:textId="77777777" w:rsidR="0050463B" w:rsidRDefault="0050463B" w:rsidP="004F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vP6960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erew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F9260" w14:textId="77777777" w:rsidR="0050463B" w:rsidRDefault="0050463B" w:rsidP="004F5E36">
      <w:r>
        <w:separator/>
      </w:r>
    </w:p>
  </w:footnote>
  <w:footnote w:type="continuationSeparator" w:id="0">
    <w:p w14:paraId="44968AE0" w14:textId="77777777" w:rsidR="0050463B" w:rsidRDefault="0050463B" w:rsidP="004F5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58AF15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EC884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8CBE9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C0B3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34EB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5C6BD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7A996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D279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F420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6ACE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38217E"/>
    <w:multiLevelType w:val="multilevel"/>
    <w:tmpl w:val="F17228D6"/>
    <w:lvl w:ilvl="0">
      <w:start w:val="1"/>
      <w:numFmt w:val="decimal"/>
      <w:suff w:val="space"/>
      <w:lvlText w:val="Chapter %1"/>
      <w:lvlJc w:val="left"/>
      <w:pPr>
        <w:ind w:left="426" w:firstLine="0"/>
      </w:pPr>
      <w:rPr>
        <w:rFonts w:hint="default"/>
      </w:rPr>
    </w:lvl>
    <w:lvl w:ilvl="1">
      <w:start w:val="1"/>
      <w:numFmt w:val="decimal"/>
      <w:pStyle w:val="CETHeading1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ETheadingx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ableSimple1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30B7370"/>
    <w:multiLevelType w:val="hybridMultilevel"/>
    <w:tmpl w:val="12E2AD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E0394"/>
    <w:multiLevelType w:val="hybridMultilevel"/>
    <w:tmpl w:val="806658E2"/>
    <w:lvl w:ilvl="0" w:tplc="14B0F7A8">
      <w:start w:val="1"/>
      <w:numFmt w:val="bullet"/>
      <w:pStyle w:val="CETnumberingbullets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100E8"/>
    <w:multiLevelType w:val="hybridMultilevel"/>
    <w:tmpl w:val="6F34C07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87BA7"/>
    <w:multiLevelType w:val="hybridMultilevel"/>
    <w:tmpl w:val="1F6A8AD4"/>
    <w:lvl w:ilvl="0" w:tplc="14B0F7A8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17387"/>
    <w:multiLevelType w:val="hybridMultilevel"/>
    <w:tmpl w:val="C2AE185A"/>
    <w:lvl w:ilvl="0" w:tplc="14090011">
      <w:start w:val="1"/>
      <w:numFmt w:val="decimal"/>
      <w:lvlText w:val="%1)"/>
      <w:lvlJc w:val="left"/>
      <w:pPr>
        <w:ind w:left="340" w:hanging="227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05803"/>
    <w:multiLevelType w:val="multilevel"/>
    <w:tmpl w:val="444C89D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AD311D0"/>
    <w:multiLevelType w:val="hybridMultilevel"/>
    <w:tmpl w:val="F198FF08"/>
    <w:lvl w:ilvl="0" w:tplc="62EA088C">
      <w:start w:val="1"/>
      <w:numFmt w:val="decimal"/>
      <w:pStyle w:val="CETnumbering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015B5"/>
    <w:multiLevelType w:val="hybridMultilevel"/>
    <w:tmpl w:val="CCDE09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5266D"/>
    <w:multiLevelType w:val="hybridMultilevel"/>
    <w:tmpl w:val="F5BE3C4A"/>
    <w:lvl w:ilvl="0" w:tplc="9FC4D28C">
      <w:start w:val="1"/>
      <w:numFmt w:val="lowerLetter"/>
      <w:pStyle w:val="CETnumberinga"/>
      <w:lvlText w:val="%1."/>
      <w:lvlJc w:val="left"/>
      <w:pPr>
        <w:ind w:left="340" w:hanging="227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2"/>
  </w:num>
  <w:num w:numId="14">
    <w:abstractNumId w:val="17"/>
  </w:num>
  <w:num w:numId="15">
    <w:abstractNumId w:val="19"/>
  </w:num>
  <w:num w:numId="16">
    <w:abstractNumId w:val="18"/>
  </w:num>
  <w:num w:numId="17">
    <w:abstractNumId w:val="11"/>
  </w:num>
  <w:num w:numId="18">
    <w:abstractNumId w:val="12"/>
    <w:lvlOverride w:ilvl="0">
      <w:startOverride w:val="1"/>
    </w:lvlOverride>
  </w:num>
  <w:num w:numId="19">
    <w:abstractNumId w:val="15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autoFormatOverride/>
  <w:styleLockTheme/>
  <w:styleLockQFSet/>
  <w:defaultTabStop w:val="708"/>
  <w:hyphenationZone w:val="283"/>
  <w:clickAndTypeStyle w:val="CETBodytext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I0NzezsDA3M7MwMTJW0lEKTi0uzszPAymwrAUAugS3IywAAAA="/>
  </w:docVars>
  <w:rsids>
    <w:rsidRoot w:val="000E414A"/>
    <w:rsid w:val="00001206"/>
    <w:rsid w:val="000027C0"/>
    <w:rsid w:val="000052FB"/>
    <w:rsid w:val="000117CB"/>
    <w:rsid w:val="0003148D"/>
    <w:rsid w:val="00040FCB"/>
    <w:rsid w:val="000430C0"/>
    <w:rsid w:val="00051566"/>
    <w:rsid w:val="000532DC"/>
    <w:rsid w:val="00062A9A"/>
    <w:rsid w:val="00065058"/>
    <w:rsid w:val="00086C39"/>
    <w:rsid w:val="000A03B2"/>
    <w:rsid w:val="000D0268"/>
    <w:rsid w:val="000D34BE"/>
    <w:rsid w:val="000D534E"/>
    <w:rsid w:val="000E102F"/>
    <w:rsid w:val="000E36F1"/>
    <w:rsid w:val="000E3A73"/>
    <w:rsid w:val="000E414A"/>
    <w:rsid w:val="000F093C"/>
    <w:rsid w:val="000F4DB5"/>
    <w:rsid w:val="000F787B"/>
    <w:rsid w:val="00100F57"/>
    <w:rsid w:val="00101CC7"/>
    <w:rsid w:val="001167D9"/>
    <w:rsid w:val="0012091F"/>
    <w:rsid w:val="00126BC2"/>
    <w:rsid w:val="001307D0"/>
    <w:rsid w:val="001308B6"/>
    <w:rsid w:val="0013121F"/>
    <w:rsid w:val="00131FE6"/>
    <w:rsid w:val="0013263F"/>
    <w:rsid w:val="00134DE4"/>
    <w:rsid w:val="0014034D"/>
    <w:rsid w:val="00150E59"/>
    <w:rsid w:val="00152DE3"/>
    <w:rsid w:val="00163501"/>
    <w:rsid w:val="00164CF9"/>
    <w:rsid w:val="001667A6"/>
    <w:rsid w:val="00184AD6"/>
    <w:rsid w:val="001A2C91"/>
    <w:rsid w:val="001A4AF7"/>
    <w:rsid w:val="001A5632"/>
    <w:rsid w:val="001A56CD"/>
    <w:rsid w:val="001B0349"/>
    <w:rsid w:val="001B65C1"/>
    <w:rsid w:val="001C684B"/>
    <w:rsid w:val="001C7F2D"/>
    <w:rsid w:val="001D53FC"/>
    <w:rsid w:val="001E5177"/>
    <w:rsid w:val="001F42A5"/>
    <w:rsid w:val="001F6EB9"/>
    <w:rsid w:val="001F7B9D"/>
    <w:rsid w:val="00216B59"/>
    <w:rsid w:val="002210DB"/>
    <w:rsid w:val="002224B4"/>
    <w:rsid w:val="002447EF"/>
    <w:rsid w:val="00250275"/>
    <w:rsid w:val="00251550"/>
    <w:rsid w:val="002633D3"/>
    <w:rsid w:val="00263B05"/>
    <w:rsid w:val="0027221A"/>
    <w:rsid w:val="00275B61"/>
    <w:rsid w:val="00282656"/>
    <w:rsid w:val="002921B0"/>
    <w:rsid w:val="00296B83"/>
    <w:rsid w:val="002B75AE"/>
    <w:rsid w:val="002B78CE"/>
    <w:rsid w:val="002C2FB6"/>
    <w:rsid w:val="002E154D"/>
    <w:rsid w:val="002F163D"/>
    <w:rsid w:val="002F3309"/>
    <w:rsid w:val="003009B7"/>
    <w:rsid w:val="00300E56"/>
    <w:rsid w:val="0030469C"/>
    <w:rsid w:val="0030613C"/>
    <w:rsid w:val="0031205D"/>
    <w:rsid w:val="00321CA6"/>
    <w:rsid w:val="00322F3E"/>
    <w:rsid w:val="003231B6"/>
    <w:rsid w:val="00323763"/>
    <w:rsid w:val="00334C09"/>
    <w:rsid w:val="003723D4"/>
    <w:rsid w:val="00377324"/>
    <w:rsid w:val="00381905"/>
    <w:rsid w:val="00384CC8"/>
    <w:rsid w:val="003870E5"/>
    <w:rsid w:val="003871FD"/>
    <w:rsid w:val="003A1E30"/>
    <w:rsid w:val="003A7D1C"/>
    <w:rsid w:val="003B304B"/>
    <w:rsid w:val="003B3146"/>
    <w:rsid w:val="003E1BF0"/>
    <w:rsid w:val="003F015E"/>
    <w:rsid w:val="00400414"/>
    <w:rsid w:val="00400889"/>
    <w:rsid w:val="00410B96"/>
    <w:rsid w:val="00413CD4"/>
    <w:rsid w:val="0041446B"/>
    <w:rsid w:val="00424567"/>
    <w:rsid w:val="0044329C"/>
    <w:rsid w:val="004577FE"/>
    <w:rsid w:val="00457B9C"/>
    <w:rsid w:val="0046164A"/>
    <w:rsid w:val="00461FA0"/>
    <w:rsid w:val="004628D2"/>
    <w:rsid w:val="00462DCD"/>
    <w:rsid w:val="004648AD"/>
    <w:rsid w:val="004703A9"/>
    <w:rsid w:val="004760DE"/>
    <w:rsid w:val="004763D7"/>
    <w:rsid w:val="00476B1C"/>
    <w:rsid w:val="00480909"/>
    <w:rsid w:val="00483017"/>
    <w:rsid w:val="004A004E"/>
    <w:rsid w:val="004A24CF"/>
    <w:rsid w:val="004C3D1D"/>
    <w:rsid w:val="004C6C8F"/>
    <w:rsid w:val="004C7913"/>
    <w:rsid w:val="004E4DD6"/>
    <w:rsid w:val="004F01D6"/>
    <w:rsid w:val="004F5E36"/>
    <w:rsid w:val="0050458B"/>
    <w:rsid w:val="0050463B"/>
    <w:rsid w:val="00507B47"/>
    <w:rsid w:val="00507BEF"/>
    <w:rsid w:val="00507CC9"/>
    <w:rsid w:val="005119A5"/>
    <w:rsid w:val="005278B7"/>
    <w:rsid w:val="00532016"/>
    <w:rsid w:val="005346C8"/>
    <w:rsid w:val="00543E7D"/>
    <w:rsid w:val="00547A68"/>
    <w:rsid w:val="005531C9"/>
    <w:rsid w:val="00561501"/>
    <w:rsid w:val="00570C43"/>
    <w:rsid w:val="00577E71"/>
    <w:rsid w:val="005B2110"/>
    <w:rsid w:val="005B61E6"/>
    <w:rsid w:val="005C77E1"/>
    <w:rsid w:val="005D32A3"/>
    <w:rsid w:val="005D668A"/>
    <w:rsid w:val="005D6A2F"/>
    <w:rsid w:val="005E1A82"/>
    <w:rsid w:val="005E794C"/>
    <w:rsid w:val="005E7E54"/>
    <w:rsid w:val="005F0A28"/>
    <w:rsid w:val="005F0E5E"/>
    <w:rsid w:val="00600535"/>
    <w:rsid w:val="00610CD6"/>
    <w:rsid w:val="00620DEE"/>
    <w:rsid w:val="00621F92"/>
    <w:rsid w:val="0062280A"/>
    <w:rsid w:val="00625639"/>
    <w:rsid w:val="00631B33"/>
    <w:rsid w:val="0064184D"/>
    <w:rsid w:val="006422CC"/>
    <w:rsid w:val="00646EA5"/>
    <w:rsid w:val="00660E3E"/>
    <w:rsid w:val="00661FFB"/>
    <w:rsid w:val="00662E74"/>
    <w:rsid w:val="00680C23"/>
    <w:rsid w:val="0069260D"/>
    <w:rsid w:val="00693766"/>
    <w:rsid w:val="006A274B"/>
    <w:rsid w:val="006A3281"/>
    <w:rsid w:val="006B0703"/>
    <w:rsid w:val="006B4888"/>
    <w:rsid w:val="006C2E45"/>
    <w:rsid w:val="006C359C"/>
    <w:rsid w:val="006C472D"/>
    <w:rsid w:val="006C5579"/>
    <w:rsid w:val="006D6E8B"/>
    <w:rsid w:val="006E2B90"/>
    <w:rsid w:val="006E737D"/>
    <w:rsid w:val="00720A24"/>
    <w:rsid w:val="00732386"/>
    <w:rsid w:val="0073514D"/>
    <w:rsid w:val="007447F3"/>
    <w:rsid w:val="00747431"/>
    <w:rsid w:val="00747B8E"/>
    <w:rsid w:val="00747DA2"/>
    <w:rsid w:val="0075499F"/>
    <w:rsid w:val="007661C8"/>
    <w:rsid w:val="0077098D"/>
    <w:rsid w:val="007931FA"/>
    <w:rsid w:val="007A4861"/>
    <w:rsid w:val="007A7BBA"/>
    <w:rsid w:val="007B0C50"/>
    <w:rsid w:val="007C1A43"/>
    <w:rsid w:val="007E5641"/>
    <w:rsid w:val="0080013E"/>
    <w:rsid w:val="00802C6C"/>
    <w:rsid w:val="00813288"/>
    <w:rsid w:val="008168FC"/>
    <w:rsid w:val="00830996"/>
    <w:rsid w:val="00832B79"/>
    <w:rsid w:val="008345F1"/>
    <w:rsid w:val="008655D1"/>
    <w:rsid w:val="00865B07"/>
    <w:rsid w:val="008667EA"/>
    <w:rsid w:val="0087637F"/>
    <w:rsid w:val="00892AD5"/>
    <w:rsid w:val="008A1512"/>
    <w:rsid w:val="008A46E5"/>
    <w:rsid w:val="008A558D"/>
    <w:rsid w:val="008D32B9"/>
    <w:rsid w:val="008D433B"/>
    <w:rsid w:val="008E566E"/>
    <w:rsid w:val="008F569A"/>
    <w:rsid w:val="0090161A"/>
    <w:rsid w:val="00901EB6"/>
    <w:rsid w:val="00904C62"/>
    <w:rsid w:val="00922BA8"/>
    <w:rsid w:val="00924DAC"/>
    <w:rsid w:val="00927058"/>
    <w:rsid w:val="00933F19"/>
    <w:rsid w:val="00942750"/>
    <w:rsid w:val="009450CE"/>
    <w:rsid w:val="00947179"/>
    <w:rsid w:val="0095164B"/>
    <w:rsid w:val="00954090"/>
    <w:rsid w:val="00954713"/>
    <w:rsid w:val="009573E7"/>
    <w:rsid w:val="00961E53"/>
    <w:rsid w:val="00963E05"/>
    <w:rsid w:val="00967843"/>
    <w:rsid w:val="00967D54"/>
    <w:rsid w:val="00971028"/>
    <w:rsid w:val="00984282"/>
    <w:rsid w:val="009942B4"/>
    <w:rsid w:val="00996483"/>
    <w:rsid w:val="00996F5A"/>
    <w:rsid w:val="009B041A"/>
    <w:rsid w:val="009C37C3"/>
    <w:rsid w:val="009C7C86"/>
    <w:rsid w:val="009D2FF7"/>
    <w:rsid w:val="009D7945"/>
    <w:rsid w:val="009E7884"/>
    <w:rsid w:val="009E788A"/>
    <w:rsid w:val="009F0E08"/>
    <w:rsid w:val="00A002ED"/>
    <w:rsid w:val="00A005EF"/>
    <w:rsid w:val="00A13821"/>
    <w:rsid w:val="00A1763D"/>
    <w:rsid w:val="00A17CEC"/>
    <w:rsid w:val="00A27EF0"/>
    <w:rsid w:val="00A42361"/>
    <w:rsid w:val="00A46C0A"/>
    <w:rsid w:val="00A4772A"/>
    <w:rsid w:val="00A50B20"/>
    <w:rsid w:val="00A51390"/>
    <w:rsid w:val="00A60D13"/>
    <w:rsid w:val="00A72745"/>
    <w:rsid w:val="00A76EFC"/>
    <w:rsid w:val="00A91010"/>
    <w:rsid w:val="00A95155"/>
    <w:rsid w:val="00A97F29"/>
    <w:rsid w:val="00AA702E"/>
    <w:rsid w:val="00AB0964"/>
    <w:rsid w:val="00AB5011"/>
    <w:rsid w:val="00AB6B3C"/>
    <w:rsid w:val="00AC7368"/>
    <w:rsid w:val="00AD16B9"/>
    <w:rsid w:val="00AE12CF"/>
    <w:rsid w:val="00AE377D"/>
    <w:rsid w:val="00AF0EBA"/>
    <w:rsid w:val="00B02C8A"/>
    <w:rsid w:val="00B144C1"/>
    <w:rsid w:val="00B17FBD"/>
    <w:rsid w:val="00B315A6"/>
    <w:rsid w:val="00B31813"/>
    <w:rsid w:val="00B33365"/>
    <w:rsid w:val="00B57B36"/>
    <w:rsid w:val="00B656C2"/>
    <w:rsid w:val="00B7368B"/>
    <w:rsid w:val="00B8686D"/>
    <w:rsid w:val="00BB14AC"/>
    <w:rsid w:val="00BB1DDC"/>
    <w:rsid w:val="00BB5282"/>
    <w:rsid w:val="00BB7FF4"/>
    <w:rsid w:val="00BC30C9"/>
    <w:rsid w:val="00BE3E58"/>
    <w:rsid w:val="00C01616"/>
    <w:rsid w:val="00C0162B"/>
    <w:rsid w:val="00C02DF8"/>
    <w:rsid w:val="00C03166"/>
    <w:rsid w:val="00C068ED"/>
    <w:rsid w:val="00C20038"/>
    <w:rsid w:val="00C2611D"/>
    <w:rsid w:val="00C32B78"/>
    <w:rsid w:val="00C345B1"/>
    <w:rsid w:val="00C40142"/>
    <w:rsid w:val="00C570CD"/>
    <w:rsid w:val="00C57182"/>
    <w:rsid w:val="00C57863"/>
    <w:rsid w:val="00C655FD"/>
    <w:rsid w:val="00C75407"/>
    <w:rsid w:val="00C77D53"/>
    <w:rsid w:val="00C870A8"/>
    <w:rsid w:val="00C94434"/>
    <w:rsid w:val="00CA0B16"/>
    <w:rsid w:val="00CA0D75"/>
    <w:rsid w:val="00CA1C95"/>
    <w:rsid w:val="00CA5A9C"/>
    <w:rsid w:val="00CB6561"/>
    <w:rsid w:val="00CC4C20"/>
    <w:rsid w:val="00CD3517"/>
    <w:rsid w:val="00CD3E46"/>
    <w:rsid w:val="00CD5FE2"/>
    <w:rsid w:val="00CE01FB"/>
    <w:rsid w:val="00CE6A04"/>
    <w:rsid w:val="00CE7C68"/>
    <w:rsid w:val="00CF093B"/>
    <w:rsid w:val="00CF667D"/>
    <w:rsid w:val="00D02B4C"/>
    <w:rsid w:val="00D040C4"/>
    <w:rsid w:val="00D56C88"/>
    <w:rsid w:val="00D57C84"/>
    <w:rsid w:val="00D6057D"/>
    <w:rsid w:val="00D62DFD"/>
    <w:rsid w:val="00D76944"/>
    <w:rsid w:val="00D836C5"/>
    <w:rsid w:val="00D84576"/>
    <w:rsid w:val="00DA1399"/>
    <w:rsid w:val="00DA24C6"/>
    <w:rsid w:val="00DA4D7B"/>
    <w:rsid w:val="00DB6A66"/>
    <w:rsid w:val="00DD299C"/>
    <w:rsid w:val="00DE264A"/>
    <w:rsid w:val="00DF5072"/>
    <w:rsid w:val="00E02D18"/>
    <w:rsid w:val="00E041E7"/>
    <w:rsid w:val="00E23CA1"/>
    <w:rsid w:val="00E409A8"/>
    <w:rsid w:val="00E50C12"/>
    <w:rsid w:val="00E65B91"/>
    <w:rsid w:val="00E7209D"/>
    <w:rsid w:val="00E77223"/>
    <w:rsid w:val="00E8528B"/>
    <w:rsid w:val="00E85B94"/>
    <w:rsid w:val="00E978D0"/>
    <w:rsid w:val="00EA2D19"/>
    <w:rsid w:val="00EA4613"/>
    <w:rsid w:val="00EA7F91"/>
    <w:rsid w:val="00EB1523"/>
    <w:rsid w:val="00EB4BED"/>
    <w:rsid w:val="00EC0E49"/>
    <w:rsid w:val="00EC101F"/>
    <w:rsid w:val="00EC1B1F"/>
    <w:rsid w:val="00EC1D9F"/>
    <w:rsid w:val="00ED125C"/>
    <w:rsid w:val="00ED54E9"/>
    <w:rsid w:val="00EE0131"/>
    <w:rsid w:val="00EE17B0"/>
    <w:rsid w:val="00EF06D9"/>
    <w:rsid w:val="00F30C64"/>
    <w:rsid w:val="00F32CDB"/>
    <w:rsid w:val="00F50729"/>
    <w:rsid w:val="00F52931"/>
    <w:rsid w:val="00F565FE"/>
    <w:rsid w:val="00F63A70"/>
    <w:rsid w:val="00F7095E"/>
    <w:rsid w:val="00F84768"/>
    <w:rsid w:val="00FA21D0"/>
    <w:rsid w:val="00FA5F5F"/>
    <w:rsid w:val="00FB730C"/>
    <w:rsid w:val="00FC2695"/>
    <w:rsid w:val="00FC3E03"/>
    <w:rsid w:val="00FC3FC1"/>
    <w:rsid w:val="00FD3E85"/>
    <w:rsid w:val="00FD4DAA"/>
    <w:rsid w:val="00F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D0564E"/>
  <w14:defaultImageDpi w14:val="330"/>
  <w15:docId w15:val="{20BAF9B7-BCF6-4AF6-9C00-E84EE48E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ET Top_page"/>
    <w:rsid w:val="00620DEE"/>
    <w:pPr>
      <w:tabs>
        <w:tab w:val="right" w:pos="7100"/>
      </w:tabs>
      <w:spacing w:line="264" w:lineRule="auto"/>
      <w:jc w:val="both"/>
    </w:pPr>
    <w:rPr>
      <w:rFonts w:ascii="Arial" w:eastAsia="Times New Roman" w:hAnsi="Arial"/>
      <w:sz w:val="18"/>
      <w:lang w:val="en-GB" w:eastAsia="en-US"/>
    </w:rPr>
  </w:style>
  <w:style w:type="paragraph" w:styleId="Heading1">
    <w:name w:val="heading 1"/>
    <w:basedOn w:val="CETHeading1"/>
    <w:next w:val="Normal"/>
    <w:link w:val="Heading1Char"/>
    <w:uiPriority w:val="9"/>
    <w:rsid w:val="004F5E36"/>
    <w:pPr>
      <w:tabs>
        <w:tab w:val="clear" w:pos="360"/>
        <w:tab w:val="right" w:pos="7100"/>
      </w:tabs>
      <w:jc w:val="both"/>
      <w:outlineLvl w:val="0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48D"/>
    <w:pPr>
      <w:keepNext/>
      <w:keepLines/>
      <w:spacing w:before="20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48D"/>
    <w:pPr>
      <w:keepNext/>
      <w:keepLines/>
      <w:spacing w:before="200"/>
      <w:outlineLvl w:val="2"/>
    </w:pPr>
    <w:rPr>
      <w:rFonts w:ascii="Cambria" w:eastAsia="SimSu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48D"/>
    <w:pPr>
      <w:keepNext/>
      <w:keepLines/>
      <w:spacing w:before="200"/>
      <w:outlineLvl w:val="3"/>
    </w:pPr>
    <w:rPr>
      <w:rFonts w:ascii="Cambria" w:eastAsia="SimSu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48D"/>
    <w:pPr>
      <w:keepNext/>
      <w:keepLines/>
      <w:spacing w:before="200"/>
      <w:outlineLvl w:val="4"/>
    </w:pPr>
    <w:rPr>
      <w:rFonts w:ascii="Cambria" w:eastAsia="SimSu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48D"/>
    <w:pPr>
      <w:keepNext/>
      <w:keepLines/>
      <w:spacing w:before="200"/>
      <w:outlineLvl w:val="5"/>
    </w:pPr>
    <w:rPr>
      <w:rFonts w:ascii="Cambria" w:eastAsia="SimSu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48D"/>
    <w:pPr>
      <w:keepNext/>
      <w:keepLines/>
      <w:spacing w:before="200"/>
      <w:outlineLvl w:val="6"/>
    </w:pPr>
    <w:rPr>
      <w:rFonts w:ascii="Cambria" w:eastAsia="SimSu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48D"/>
    <w:pPr>
      <w:keepNext/>
      <w:keepLines/>
      <w:spacing w:before="200"/>
      <w:outlineLvl w:val="7"/>
    </w:pPr>
    <w:rPr>
      <w:rFonts w:ascii="Cambria" w:eastAsia="SimSun" w:hAnsi="Cambria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48D"/>
    <w:pPr>
      <w:keepNext/>
      <w:keepLines/>
      <w:spacing w:before="200"/>
      <w:outlineLvl w:val="8"/>
    </w:pPr>
    <w:rPr>
      <w:rFonts w:ascii="Cambria" w:eastAsia="SimSu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TAuthors">
    <w:name w:val="CET Authors"/>
    <w:basedOn w:val="CETBodytext"/>
    <w:link w:val="CETAuthorsCarattere"/>
    <w:qFormat/>
    <w:rsid w:val="000E414A"/>
    <w:pPr>
      <w:keepNext/>
      <w:suppressAutoHyphens/>
      <w:spacing w:after="120"/>
    </w:pPr>
    <w:rPr>
      <w:noProof/>
      <w:sz w:val="24"/>
      <w:lang w:val="en-GB"/>
    </w:rPr>
  </w:style>
  <w:style w:type="paragraph" w:customStyle="1" w:styleId="CETTitle">
    <w:name w:val="CET Title"/>
    <w:next w:val="CETAuthors"/>
    <w:link w:val="CETTitleCarattere"/>
    <w:rsid w:val="00FB730C"/>
    <w:pPr>
      <w:suppressAutoHyphens/>
      <w:spacing w:before="480" w:after="120" w:line="264" w:lineRule="auto"/>
      <w:jc w:val="center"/>
      <w:outlineLvl w:val="0"/>
    </w:pPr>
    <w:rPr>
      <w:rFonts w:ascii="Arial" w:eastAsia="Times New Roman" w:hAnsi="Arial"/>
      <w:sz w:val="32"/>
      <w:lang w:val="en-GB" w:eastAsia="en-US"/>
    </w:rPr>
  </w:style>
  <w:style w:type="character" w:customStyle="1" w:styleId="CETAuthorsCarattere">
    <w:name w:val="CET Authors Carattere"/>
    <w:link w:val="CETAuthors"/>
    <w:rsid w:val="009E788A"/>
    <w:rPr>
      <w:rFonts w:ascii="Arial" w:eastAsia="Times New Roman" w:hAnsi="Arial" w:cs="Times New Roman"/>
      <w:noProof/>
      <w:sz w:val="24"/>
      <w:szCs w:val="20"/>
      <w:lang w:val="en-GB"/>
    </w:rPr>
  </w:style>
  <w:style w:type="character" w:customStyle="1" w:styleId="CETTitleCarattere">
    <w:name w:val="CET Title Carattere"/>
    <w:link w:val="CETTitle"/>
    <w:rsid w:val="00FB730C"/>
    <w:rPr>
      <w:rFonts w:ascii="Arial" w:eastAsia="Times New Roman" w:hAnsi="Arial" w:cs="Times New Roman"/>
      <w:sz w:val="32"/>
      <w:szCs w:val="20"/>
      <w:lang w:val="en-GB"/>
    </w:rPr>
  </w:style>
  <w:style w:type="paragraph" w:customStyle="1" w:styleId="CETHeading1">
    <w:name w:val="CET Heading1"/>
    <w:next w:val="CETBodytext"/>
    <w:qFormat/>
    <w:rsid w:val="009E788A"/>
    <w:pPr>
      <w:keepNext/>
      <w:numPr>
        <w:ilvl w:val="1"/>
        <w:numId w:val="1"/>
      </w:numPr>
      <w:tabs>
        <w:tab w:val="num" w:pos="360"/>
      </w:tabs>
      <w:suppressAutoHyphens/>
      <w:spacing w:before="240" w:after="120"/>
    </w:pPr>
    <w:rPr>
      <w:rFonts w:ascii="Arial" w:eastAsia="Times New Roman" w:hAnsi="Arial"/>
      <w:b/>
      <w:lang w:val="en-US" w:eastAsia="en-US"/>
    </w:rPr>
  </w:style>
  <w:style w:type="paragraph" w:customStyle="1" w:styleId="CETBodytext">
    <w:name w:val="CET Body text"/>
    <w:link w:val="CETBodytextCarattere"/>
    <w:qFormat/>
    <w:rsid w:val="000E414A"/>
    <w:pPr>
      <w:tabs>
        <w:tab w:val="right" w:pos="7100"/>
      </w:tabs>
      <w:spacing w:line="264" w:lineRule="auto"/>
      <w:jc w:val="both"/>
    </w:pPr>
    <w:rPr>
      <w:rFonts w:ascii="Arial" w:eastAsia="Times New Roman" w:hAnsi="Arial"/>
      <w:sz w:val="18"/>
      <w:lang w:val="en-US" w:eastAsia="en-US"/>
    </w:rPr>
  </w:style>
  <w:style w:type="paragraph" w:customStyle="1" w:styleId="CETheadingx">
    <w:name w:val="CET headingx"/>
    <w:next w:val="CETBodytext"/>
    <w:link w:val="CETheadingxCarattere"/>
    <w:autoRedefine/>
    <w:qFormat/>
    <w:rsid w:val="00FA5F5F"/>
    <w:pPr>
      <w:keepNext/>
      <w:numPr>
        <w:ilvl w:val="2"/>
        <w:numId w:val="1"/>
      </w:numPr>
      <w:suppressAutoHyphens/>
      <w:spacing w:before="120" w:after="120"/>
    </w:pPr>
    <w:rPr>
      <w:rFonts w:ascii="Arial" w:eastAsia="Times New Roman" w:hAnsi="Arial"/>
      <w:b/>
      <w:sz w:val="18"/>
      <w:lang w:val="en-US" w:eastAsia="en-US"/>
    </w:rPr>
  </w:style>
  <w:style w:type="paragraph" w:customStyle="1" w:styleId="CETAddress">
    <w:name w:val="CET Address"/>
    <w:link w:val="CETAddressCarattere"/>
    <w:qFormat/>
    <w:rsid w:val="009E788A"/>
    <w:pPr>
      <w:keepNext/>
      <w:suppressAutoHyphens/>
      <w:spacing w:line="276" w:lineRule="auto"/>
      <w:contextualSpacing/>
    </w:pPr>
    <w:rPr>
      <w:rFonts w:ascii="Arial" w:eastAsia="Times New Roman" w:hAnsi="Arial"/>
      <w:noProof/>
      <w:sz w:val="16"/>
      <w:lang w:val="en-GB" w:eastAsia="en-US"/>
    </w:rPr>
  </w:style>
  <w:style w:type="table" w:styleId="TableSimple1">
    <w:name w:val="Table Simple 1"/>
    <w:basedOn w:val="TableNormal"/>
    <w:semiHidden/>
    <w:rsid w:val="000E414A"/>
    <w:pPr>
      <w:numPr>
        <w:ilvl w:val="3"/>
        <w:numId w:val="1"/>
      </w:numPr>
      <w:spacing w:line="264" w:lineRule="auto"/>
      <w:jc w:val="both"/>
    </w:pPr>
    <w:rPr>
      <w:rFonts w:ascii="Times New Roman" w:eastAsia="Times New Roman" w:hAnsi="Times New Roman"/>
      <w:lang w:eastAsia="it-I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CETBodytextCarattere">
    <w:name w:val="CET Body text Carattere"/>
    <w:link w:val="CETBodytext"/>
    <w:rsid w:val="000E414A"/>
    <w:rPr>
      <w:rFonts w:ascii="Arial" w:eastAsia="Times New Roman" w:hAnsi="Arial" w:cs="Times New Roman"/>
      <w:sz w:val="18"/>
      <w:szCs w:val="20"/>
      <w:lang w:val="en-US"/>
    </w:rPr>
  </w:style>
  <w:style w:type="paragraph" w:customStyle="1" w:styleId="CETReference">
    <w:name w:val="CET Reference"/>
    <w:qFormat/>
    <w:rsid w:val="00FC2695"/>
    <w:pPr>
      <w:spacing w:before="200" w:after="120"/>
    </w:pPr>
    <w:rPr>
      <w:rFonts w:ascii="Arial" w:eastAsia="Times New Roman" w:hAnsi="Arial"/>
      <w:b/>
      <w:sz w:val="18"/>
      <w:lang w:val="en-GB" w:eastAsia="en-US"/>
    </w:rPr>
  </w:style>
  <w:style w:type="paragraph" w:customStyle="1" w:styleId="CETCaption">
    <w:name w:val="CET Caption"/>
    <w:link w:val="CETCaptionCarattere"/>
    <w:qFormat/>
    <w:rsid w:val="009E788A"/>
    <w:pPr>
      <w:spacing w:before="240" w:after="240" w:line="264" w:lineRule="auto"/>
      <w:jc w:val="both"/>
    </w:pPr>
    <w:rPr>
      <w:rFonts w:ascii="Arial" w:eastAsia="Times New Roman" w:hAnsi="Arial"/>
      <w:i/>
      <w:sz w:val="18"/>
      <w:lang w:val="en-GB" w:eastAsia="en-US"/>
    </w:rPr>
  </w:style>
  <w:style w:type="character" w:customStyle="1" w:styleId="CETheadingxCarattere">
    <w:name w:val="CET headingx Carattere"/>
    <w:link w:val="CETheadingx"/>
    <w:rsid w:val="00FA5F5F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ETCaptionCarattere">
    <w:name w:val="CET Caption Carattere"/>
    <w:link w:val="CETCaption"/>
    <w:rsid w:val="009E788A"/>
    <w:rPr>
      <w:rFonts w:ascii="Arial" w:eastAsia="Times New Roman" w:hAnsi="Arial" w:cs="Times New Roman"/>
      <w:i/>
      <w:sz w:val="18"/>
      <w:szCs w:val="20"/>
      <w:lang w:val="en-GB"/>
    </w:rPr>
  </w:style>
  <w:style w:type="paragraph" w:customStyle="1" w:styleId="CETBodytextItalic">
    <w:name w:val="CET Body text (Italic)"/>
    <w:basedOn w:val="CETBodytext"/>
    <w:qFormat/>
    <w:rsid w:val="004F5E36"/>
    <w:rPr>
      <w:i/>
      <w:lang w:val="en-GB"/>
    </w:rPr>
  </w:style>
  <w:style w:type="character" w:styleId="CommentReference">
    <w:name w:val="annotation reference"/>
    <w:uiPriority w:val="99"/>
    <w:semiHidden/>
    <w:unhideWhenUsed/>
    <w:rsid w:val="004577F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34BE"/>
    <w:rPr>
      <w:rFonts w:ascii="Tahoma" w:hAnsi="Tahoma" w:cs="Tahoma"/>
      <w:sz w:val="16"/>
      <w:szCs w:val="16"/>
    </w:rPr>
  </w:style>
  <w:style w:type="paragraph" w:styleId="Bibliography">
    <w:name w:val="Bibliography"/>
    <w:basedOn w:val="CETReferencetext"/>
    <w:uiPriority w:val="37"/>
    <w:unhideWhenUsed/>
    <w:rsid w:val="00631B33"/>
    <w:pPr>
      <w:spacing w:line="240" w:lineRule="auto"/>
      <w:ind w:left="720" w:hanging="720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0314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3148D"/>
  </w:style>
  <w:style w:type="paragraph" w:styleId="BodyText3">
    <w:name w:val="Body Text 3"/>
    <w:basedOn w:val="Normal"/>
    <w:link w:val="BodyText3Char"/>
    <w:uiPriority w:val="99"/>
    <w:semiHidden/>
    <w:unhideWhenUsed/>
    <w:rsid w:val="000314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03148D"/>
    <w:rPr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0314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148D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148D"/>
  </w:style>
  <w:style w:type="character" w:customStyle="1" w:styleId="DateChar">
    <w:name w:val="Date Char"/>
    <w:basedOn w:val="DefaultParagraphFont"/>
    <w:link w:val="Date"/>
    <w:uiPriority w:val="99"/>
    <w:semiHidden/>
    <w:rsid w:val="0003148D"/>
  </w:style>
  <w:style w:type="paragraph" w:styleId="Caption">
    <w:name w:val="caption"/>
    <w:basedOn w:val="Normal"/>
    <w:next w:val="Normal"/>
    <w:uiPriority w:val="35"/>
    <w:unhideWhenUsed/>
    <w:qFormat/>
    <w:rsid w:val="0003148D"/>
    <w:pPr>
      <w:spacing w:line="240" w:lineRule="auto"/>
    </w:pPr>
    <w:rPr>
      <w:b/>
      <w:bCs/>
      <w:color w:val="4F81BD"/>
      <w:szCs w:val="18"/>
    </w:rPr>
  </w:style>
  <w:style w:type="paragraph" w:styleId="List">
    <w:name w:val="List"/>
    <w:basedOn w:val="Normal"/>
    <w:uiPriority w:val="99"/>
    <w:semiHidden/>
    <w:unhideWhenUsed/>
    <w:rsid w:val="0003148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3148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3148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3148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3148D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3148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3148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3148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3148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3148D"/>
    <w:pPr>
      <w:spacing w:after="120"/>
      <w:ind w:left="1415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03148D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3148D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3148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3148D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3148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3148D"/>
  </w:style>
  <w:style w:type="paragraph" w:styleId="Closing">
    <w:name w:val="Closing"/>
    <w:basedOn w:val="Normal"/>
    <w:link w:val="ClosingChar"/>
    <w:uiPriority w:val="99"/>
    <w:semiHidden/>
    <w:unhideWhenUsed/>
    <w:rsid w:val="0003148D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3148D"/>
  </w:style>
  <w:style w:type="paragraph" w:styleId="Index1">
    <w:name w:val="index 1"/>
    <w:basedOn w:val="Normal"/>
    <w:next w:val="Normal"/>
    <w:autoRedefine/>
    <w:uiPriority w:val="99"/>
    <w:semiHidden/>
    <w:unhideWhenUsed/>
    <w:rsid w:val="0003148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3148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3148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3148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3148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3148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3148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3148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3148D"/>
    <w:pPr>
      <w:spacing w:line="240" w:lineRule="auto"/>
      <w:ind w:left="198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3148D"/>
  </w:style>
  <w:style w:type="paragraph" w:styleId="TableofAuthorities">
    <w:name w:val="table of authorities"/>
    <w:basedOn w:val="Normal"/>
    <w:next w:val="Normal"/>
    <w:uiPriority w:val="99"/>
    <w:semiHidden/>
    <w:unhideWhenUsed/>
    <w:rsid w:val="0003148D"/>
    <w:pPr>
      <w:ind w:left="220" w:hanging="220"/>
    </w:pPr>
  </w:style>
  <w:style w:type="paragraph" w:styleId="EnvelopeAddress">
    <w:name w:val="envelope address"/>
    <w:basedOn w:val="Normal"/>
    <w:uiPriority w:val="99"/>
    <w:semiHidden/>
    <w:unhideWhenUsed/>
    <w:rsid w:val="0003148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Cambria" w:eastAsia="SimSun" w:hAnsi="Cambria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3148D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03148D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03148D"/>
    <w:pPr>
      <w:spacing w:line="240" w:lineRule="auto"/>
    </w:pPr>
    <w:rPr>
      <w:rFonts w:ascii="Cambria" w:eastAsia="SimSun" w:hAnsi="Cambri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314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Cambria" w:eastAsia="SimSu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03148D"/>
    <w:rPr>
      <w:rFonts w:ascii="Cambria" w:eastAsia="SimSun" w:hAnsi="Cambria" w:cs="Times New Roman"/>
      <w:sz w:val="24"/>
      <w:szCs w:val="24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3148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3148D"/>
  </w:style>
  <w:style w:type="paragraph" w:styleId="DocumentMap">
    <w:name w:val="Document Map"/>
    <w:basedOn w:val="Normal"/>
    <w:link w:val="DocumentMapChar"/>
    <w:uiPriority w:val="99"/>
    <w:semiHidden/>
    <w:unhideWhenUsed/>
    <w:rsid w:val="000314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314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148D"/>
    <w:rPr>
      <w:sz w:val="24"/>
      <w:szCs w:val="24"/>
    </w:rPr>
  </w:style>
  <w:style w:type="paragraph" w:styleId="ListNumber">
    <w:name w:val="List Number"/>
    <w:basedOn w:val="Normal"/>
    <w:uiPriority w:val="99"/>
    <w:semiHidden/>
    <w:unhideWhenUsed/>
    <w:rsid w:val="0003148D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3148D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3148D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3148D"/>
    <w:pPr>
      <w:numPr>
        <w:numId w:val="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3148D"/>
    <w:pPr>
      <w:numPr>
        <w:numId w:val="6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48D"/>
    <w:pPr>
      <w:spacing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link w:val="HTMLPreformatted"/>
    <w:uiPriority w:val="99"/>
    <w:semiHidden/>
    <w:rsid w:val="0003148D"/>
    <w:rPr>
      <w:rFonts w:ascii="Consolas" w:hAnsi="Consolas" w:cs="Consolas"/>
      <w:sz w:val="20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3148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3148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314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3148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3148D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3148D"/>
  </w:style>
  <w:style w:type="paragraph" w:styleId="ListBullet">
    <w:name w:val="List Bullet"/>
    <w:basedOn w:val="Normal"/>
    <w:uiPriority w:val="99"/>
    <w:semiHidden/>
    <w:unhideWhenUsed/>
    <w:rsid w:val="0003148D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3148D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3148D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3148D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3148D"/>
    <w:pPr>
      <w:numPr>
        <w:numId w:val="11"/>
      </w:numPr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3148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3148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3148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03148D"/>
    <w:rPr>
      <w:sz w:val="16"/>
      <w:szCs w:val="16"/>
    </w:rPr>
  </w:style>
  <w:style w:type="paragraph" w:styleId="NormalIndent">
    <w:name w:val="Normal Indent"/>
    <w:basedOn w:val="Normal"/>
    <w:uiPriority w:val="99"/>
    <w:semiHidden/>
    <w:unhideWhenUsed/>
    <w:rsid w:val="0003148D"/>
    <w:pPr>
      <w:ind w:left="720"/>
    </w:pPr>
  </w:style>
  <w:style w:type="paragraph" w:styleId="CommentText">
    <w:name w:val="annotation text"/>
    <w:basedOn w:val="Normal"/>
    <w:link w:val="CommentTextChar"/>
    <w:uiPriority w:val="99"/>
    <w:unhideWhenUsed/>
    <w:rsid w:val="0003148D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rsid w:val="000314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48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148D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3148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314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3148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3148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3148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3148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3148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3148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3148D"/>
    <w:pPr>
      <w:spacing w:after="100"/>
      <w:ind w:left="1760"/>
    </w:pPr>
  </w:style>
  <w:style w:type="paragraph" w:styleId="BlockText">
    <w:name w:val="Block Text"/>
    <w:basedOn w:val="Normal"/>
    <w:uiPriority w:val="99"/>
    <w:semiHidden/>
    <w:unhideWhenUsed/>
    <w:rsid w:val="0003148D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eastAsia="SimSun"/>
      <w:i/>
      <w:iCs/>
      <w:color w:val="4F81BD"/>
    </w:rPr>
  </w:style>
  <w:style w:type="paragraph" w:styleId="MacroText">
    <w:name w:val="macro"/>
    <w:link w:val="MacroTextChar"/>
    <w:uiPriority w:val="99"/>
    <w:semiHidden/>
    <w:unhideWhenUsed/>
    <w:rsid w:val="000314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lang w:val="it-IT" w:eastAsia="en-US"/>
    </w:rPr>
  </w:style>
  <w:style w:type="character" w:customStyle="1" w:styleId="MacroTextChar">
    <w:name w:val="Macro Text Char"/>
    <w:link w:val="MacroText"/>
    <w:uiPriority w:val="99"/>
    <w:semiHidden/>
    <w:rsid w:val="0003148D"/>
    <w:rPr>
      <w:rFonts w:ascii="Consolas" w:hAnsi="Consolas" w:cs="Consolas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3148D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03148D"/>
    <w:rPr>
      <w:rFonts w:ascii="Consolas" w:hAnsi="Consolas" w:cs="Consolas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148D"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semiHidden/>
    <w:rsid w:val="0003148D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3148D"/>
    <w:pPr>
      <w:spacing w:line="240" w:lineRule="auto"/>
    </w:pPr>
  </w:style>
  <w:style w:type="character" w:customStyle="1" w:styleId="EndnoteTextChar">
    <w:name w:val="Endnote Text Char"/>
    <w:link w:val="EndnoteText"/>
    <w:uiPriority w:val="99"/>
    <w:semiHidden/>
    <w:rsid w:val="0003148D"/>
    <w:rPr>
      <w:sz w:val="20"/>
      <w:szCs w:val="20"/>
    </w:rPr>
  </w:style>
  <w:style w:type="character" w:customStyle="1" w:styleId="Heading1Char">
    <w:name w:val="Heading 1 Char"/>
    <w:link w:val="Heading1"/>
    <w:uiPriority w:val="9"/>
    <w:rsid w:val="004F5E36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2Char">
    <w:name w:val="Heading 2 Char"/>
    <w:link w:val="Heading2"/>
    <w:uiPriority w:val="9"/>
    <w:semiHidden/>
    <w:rsid w:val="0003148D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03148D"/>
    <w:rPr>
      <w:rFonts w:ascii="Cambria" w:eastAsia="SimSu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03148D"/>
    <w:rPr>
      <w:rFonts w:ascii="Cambria" w:eastAsia="SimSu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03148D"/>
    <w:rPr>
      <w:rFonts w:ascii="Cambria" w:eastAsia="SimSu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03148D"/>
    <w:rPr>
      <w:rFonts w:ascii="Cambria" w:eastAsia="SimSu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03148D"/>
    <w:rPr>
      <w:rFonts w:ascii="Cambria" w:eastAsia="SimSu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3148D"/>
    <w:rPr>
      <w:rFonts w:ascii="Cambria" w:eastAsia="SimSu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3148D"/>
    <w:rPr>
      <w:rFonts w:ascii="Cambria" w:eastAsia="SimSun" w:hAnsi="Cambria" w:cs="Times New Roman"/>
      <w:i/>
      <w:iCs/>
      <w:color w:val="404040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unhideWhenUsed/>
    <w:rsid w:val="0003148D"/>
    <w:rPr>
      <w:rFonts w:ascii="Cambria" w:eastAsia="SimSun" w:hAnsi="Cambria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03148D"/>
    <w:pPr>
      <w:spacing w:before="120"/>
    </w:pPr>
    <w:rPr>
      <w:rFonts w:ascii="Cambria" w:eastAsia="SimSun" w:hAnsi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48D"/>
    <w:pPr>
      <w:outlineLvl w:val="9"/>
    </w:pPr>
  </w:style>
  <w:style w:type="paragraph" w:customStyle="1" w:styleId="CETemail">
    <w:name w:val="CET email"/>
    <w:next w:val="CETBodytext"/>
    <w:rsid w:val="009E788A"/>
    <w:pPr>
      <w:spacing w:after="240" w:line="276" w:lineRule="auto"/>
    </w:pPr>
    <w:rPr>
      <w:rFonts w:ascii="Arial" w:eastAsia="Times New Roman" w:hAnsi="Arial"/>
      <w:noProof/>
      <w:sz w:val="16"/>
      <w:lang w:val="en-GB" w:eastAsia="en-US"/>
    </w:rPr>
  </w:style>
  <w:style w:type="character" w:customStyle="1" w:styleId="CETAddressCarattere">
    <w:name w:val="CET Address Carattere"/>
    <w:link w:val="CETAddress"/>
    <w:rsid w:val="009E788A"/>
    <w:rPr>
      <w:rFonts w:ascii="Arial" w:eastAsia="Times New Roman" w:hAnsi="Arial" w:cs="Times New Roman"/>
      <w:noProof/>
      <w:sz w:val="16"/>
      <w:szCs w:val="20"/>
      <w:lang w:val="en-GB"/>
    </w:rPr>
  </w:style>
  <w:style w:type="paragraph" w:customStyle="1" w:styleId="CETBodytextBold">
    <w:name w:val="CET Body text (Bold)"/>
    <w:basedOn w:val="CETBodytext"/>
    <w:rsid w:val="00901EB6"/>
    <w:rPr>
      <w:b/>
    </w:rPr>
  </w:style>
  <w:style w:type="paragraph" w:customStyle="1" w:styleId="CETnumberingbullets">
    <w:name w:val="CET numbering (bullets)"/>
    <w:rsid w:val="008D433B"/>
    <w:pPr>
      <w:numPr>
        <w:numId w:val="13"/>
      </w:numPr>
      <w:spacing w:line="264" w:lineRule="auto"/>
    </w:pPr>
    <w:rPr>
      <w:rFonts w:ascii="Arial" w:eastAsia="Times New Roman" w:hAnsi="Arial"/>
      <w:sz w:val="18"/>
      <w:lang w:val="en-GB" w:eastAsia="en-US"/>
    </w:rPr>
  </w:style>
  <w:style w:type="paragraph" w:customStyle="1" w:styleId="CETnumbering1">
    <w:name w:val="CET numbering (1"/>
    <w:aliases w:val="2..)"/>
    <w:rsid w:val="00B57B36"/>
    <w:pPr>
      <w:numPr>
        <w:numId w:val="14"/>
      </w:numPr>
      <w:spacing w:line="264" w:lineRule="auto"/>
      <w:ind w:left="340" w:hanging="227"/>
    </w:pPr>
    <w:rPr>
      <w:rFonts w:ascii="Arial" w:eastAsia="Times New Roman" w:hAnsi="Arial"/>
      <w:sz w:val="18"/>
      <w:lang w:val="en-US" w:eastAsia="en-US"/>
    </w:rPr>
  </w:style>
  <w:style w:type="paragraph" w:customStyle="1" w:styleId="CETnumberinga">
    <w:name w:val="CET numbering (a"/>
    <w:aliases w:val="b,..)"/>
    <w:rsid w:val="00B57B36"/>
    <w:pPr>
      <w:numPr>
        <w:numId w:val="15"/>
      </w:numPr>
      <w:spacing w:line="264" w:lineRule="auto"/>
    </w:pPr>
    <w:rPr>
      <w:rFonts w:ascii="Arial" w:eastAsia="Times New Roman" w:hAnsi="Arial"/>
      <w:sz w:val="18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5278B7"/>
    <w:pPr>
      <w:tabs>
        <w:tab w:val="clear" w:pos="7100"/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5278B7"/>
    <w:rPr>
      <w:rFonts w:ascii="Arial" w:eastAsia="Times New Roman" w:hAnsi="Arial" w:cs="Times New Roman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278B7"/>
    <w:pPr>
      <w:tabs>
        <w:tab w:val="clear" w:pos="7100"/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5278B7"/>
    <w:rPr>
      <w:rFonts w:ascii="Arial" w:eastAsia="Times New Roman" w:hAnsi="Arial" w:cs="Times New Roman"/>
      <w:sz w:val="18"/>
      <w:szCs w:val="20"/>
      <w:lang w:val="en-GB"/>
    </w:rPr>
  </w:style>
  <w:style w:type="table" w:styleId="TableGrid">
    <w:name w:val="Table Grid"/>
    <w:basedOn w:val="TableNormal"/>
    <w:uiPriority w:val="59"/>
    <w:rsid w:val="00660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904C62"/>
    <w:rPr>
      <w:color w:val="0000FF"/>
      <w:u w:val="single"/>
    </w:rPr>
  </w:style>
  <w:style w:type="character" w:customStyle="1" w:styleId="eudoraheader">
    <w:name w:val="eudoraheader"/>
    <w:basedOn w:val="DefaultParagraphFont"/>
    <w:rsid w:val="00904C62"/>
  </w:style>
  <w:style w:type="paragraph" w:customStyle="1" w:styleId="CETListbullets">
    <w:name w:val="CET List bullets"/>
    <w:qFormat/>
    <w:rsid w:val="004577FE"/>
    <w:pPr>
      <w:spacing w:line="264" w:lineRule="auto"/>
      <w:ind w:left="340" w:hanging="227"/>
      <w:jc w:val="both"/>
    </w:pPr>
    <w:rPr>
      <w:rFonts w:ascii="Arial" w:eastAsia="Times New Roman" w:hAnsi="Arial"/>
      <w:sz w:val="18"/>
      <w:lang w:val="en-GB" w:eastAsia="en-US"/>
    </w:rPr>
  </w:style>
  <w:style w:type="paragraph" w:customStyle="1" w:styleId="CETReferencetext">
    <w:name w:val="CET Reference text"/>
    <w:qFormat/>
    <w:rsid w:val="00600535"/>
    <w:pPr>
      <w:spacing w:line="264" w:lineRule="auto"/>
      <w:ind w:left="284" w:hanging="284"/>
      <w:jc w:val="both"/>
    </w:pPr>
    <w:rPr>
      <w:rFonts w:ascii="Arial" w:eastAsia="Times New Roman" w:hAnsi="Arial"/>
      <w:sz w:val="18"/>
      <w:lang w:val="en-GB" w:eastAsia="en-US"/>
    </w:rPr>
  </w:style>
  <w:style w:type="paragraph" w:customStyle="1" w:styleId="CETTabletitle">
    <w:name w:val="CET Table title"/>
    <w:qFormat/>
    <w:rsid w:val="00600535"/>
    <w:pPr>
      <w:keepNext/>
      <w:spacing w:before="240" w:after="80" w:line="240" w:lineRule="exact"/>
    </w:pPr>
    <w:rPr>
      <w:rFonts w:ascii="Arial" w:eastAsia="Times New Roman" w:hAnsi="Arial"/>
      <w:i/>
      <w:sz w:val="18"/>
      <w:lang w:val="en-GB" w:eastAsia="en-US"/>
    </w:rPr>
  </w:style>
  <w:style w:type="paragraph" w:customStyle="1" w:styleId="CETAcknowledgementstitle">
    <w:name w:val="CET Acknowledgements title"/>
    <w:next w:val="CETBodytext"/>
    <w:qFormat/>
    <w:rsid w:val="00600535"/>
    <w:pPr>
      <w:spacing w:before="200" w:after="120" w:line="276" w:lineRule="auto"/>
    </w:pPr>
    <w:rPr>
      <w:rFonts w:ascii="Arial" w:eastAsia="Times New Roman" w:hAnsi="Arial"/>
      <w:b/>
      <w:sz w:val="18"/>
      <w:lang w:val="en-GB" w:eastAsia="en-US"/>
    </w:rPr>
  </w:style>
  <w:style w:type="paragraph" w:customStyle="1" w:styleId="CETEquation">
    <w:name w:val="CET Equation"/>
    <w:basedOn w:val="CETBodytext"/>
    <w:next w:val="CETBodytext"/>
    <w:qFormat/>
    <w:rsid w:val="00600535"/>
    <w:pPr>
      <w:spacing w:before="120" w:after="120"/>
      <w:jc w:val="left"/>
    </w:pPr>
    <w:rPr>
      <w:lang w:val="en-GB"/>
    </w:rPr>
  </w:style>
  <w:style w:type="paragraph" w:customStyle="1" w:styleId="CETHeadingxx">
    <w:name w:val="CET Headingxx"/>
    <w:basedOn w:val="CETheadingx"/>
    <w:link w:val="CETHeadingxxChar"/>
    <w:qFormat/>
    <w:rsid w:val="000F787B"/>
    <w:pPr>
      <w:numPr>
        <w:ilvl w:val="0"/>
        <w:numId w:val="0"/>
      </w:numPr>
    </w:pPr>
  </w:style>
  <w:style w:type="character" w:customStyle="1" w:styleId="CETHeadingxxChar">
    <w:name w:val="CET Headingxx Char"/>
    <w:link w:val="CETHeadingxx"/>
    <w:rsid w:val="000F787B"/>
    <w:rPr>
      <w:rFonts w:ascii="Arial" w:eastAsia="Times New Roman" w:hAnsi="Arial" w:cs="Times New Roman"/>
      <w:b/>
      <w:sz w:val="18"/>
      <w:szCs w:val="20"/>
      <w:lang w:val="en-US"/>
    </w:rPr>
  </w:style>
  <w:style w:type="character" w:styleId="UnresolvedMention">
    <w:name w:val="Unresolved Mention"/>
    <w:uiPriority w:val="99"/>
    <w:semiHidden/>
    <w:unhideWhenUsed/>
    <w:rsid w:val="003061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AE12CF"/>
    <w:pPr>
      <w:ind w:left="720"/>
      <w:contextualSpacing/>
    </w:pPr>
  </w:style>
  <w:style w:type="character" w:styleId="PlaceholderText">
    <w:name w:val="Placeholder Text"/>
    <w:uiPriority w:val="99"/>
    <w:semiHidden/>
    <w:rsid w:val="001A5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9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F36CC-2D6B-4815-AD6E-F32C5EFF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2753</Words>
  <Characters>15695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Dipartimento CMIC - Politecnico di Milano</Company>
  <LinksUpToDate>false</LinksUpToDate>
  <CharactersWithSpaces>18412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</dc:creator>
  <cp:keywords/>
  <cp:lastModifiedBy>Brandon van Veenhuyzen</cp:lastModifiedBy>
  <cp:revision>6</cp:revision>
  <cp:lastPrinted>2020-12-19T12:20:00Z</cp:lastPrinted>
  <dcterms:created xsi:type="dcterms:W3CDTF">2021-02-01T14:07:00Z</dcterms:created>
  <dcterms:modified xsi:type="dcterms:W3CDTF">2021-02-01T14:25:00Z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id="s8VwuD2U"/&gt;&lt;style id="http://www.zotero.org/styles/chemical-engineering-transactions" hasBibliography="1" bibliographyStyleHasBeenSet="1"/&gt;&lt;prefs&gt;&lt;pref name="fieldType" value="Field"/&gt;&lt;pref na</vt:lpwstr>
  </property>
  <property fmtid="{D5CDD505-2E9C-101B-9397-08002B2CF9AE}" pid="3" name="ZOTERO_PREF_2">
    <vt:lpwstr>me="storeReferences" value="true"/&gt;&lt;pref name="automaticJournalAbbreviations" value=""/&gt;&lt;pref name="noteType" value=""/&gt;&lt;/prefs&gt;&lt;/data&gt;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http://www.zotero.org/styles/elsevier-harvard-without-titles</vt:lpwstr>
  </property>
  <property fmtid="{D5CDD505-2E9C-101B-9397-08002B2CF9AE}" pid="17" name="Mendeley Recent Style Name 6_1">
    <vt:lpwstr>Elsevier - Harvard (without titles)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http://www.zotero.org/styles/water-science-and-technology</vt:lpwstr>
  </property>
  <property fmtid="{D5CDD505-2E9C-101B-9397-08002B2CF9AE}" pid="23" name="Mendeley Recent Style Name 9_1">
    <vt:lpwstr>Water Science &amp; Technology</vt:lpwstr>
  </property>
</Properties>
</file>