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20024" w14:textId="77777777" w:rsidR="000A0012" w:rsidRPr="00982694" w:rsidRDefault="00982694" w:rsidP="00982694">
      <w:pPr>
        <w:jc w:val="center"/>
        <w:rPr>
          <w:rFonts w:ascii="Century Schoolbook" w:hAnsi="Century Schoolbook"/>
          <w:b/>
          <w:bCs/>
          <w:sz w:val="22"/>
          <w:szCs w:val="22"/>
        </w:rPr>
      </w:pPr>
      <w:r w:rsidRPr="00982694">
        <w:rPr>
          <w:rFonts w:ascii="Century Schoolbook" w:hAnsi="Century Schoolbook"/>
          <w:b/>
          <w:bCs/>
          <w:sz w:val="22"/>
          <w:szCs w:val="22"/>
        </w:rPr>
        <w:t>QBIO 481 Optional Assignment</w:t>
      </w:r>
    </w:p>
    <w:p w14:paraId="561C1D93" w14:textId="77777777" w:rsidR="00982694" w:rsidRDefault="00982694" w:rsidP="00982694">
      <w:pPr>
        <w:jc w:val="center"/>
        <w:rPr>
          <w:rFonts w:ascii="Century Schoolbook" w:hAnsi="Century Schoolbook"/>
          <w:sz w:val="22"/>
          <w:szCs w:val="22"/>
        </w:rPr>
      </w:pPr>
      <w:r w:rsidRPr="00982694">
        <w:rPr>
          <w:rFonts w:ascii="Century Schoolbook" w:hAnsi="Century Schoolbook"/>
          <w:sz w:val="22"/>
          <w:szCs w:val="22"/>
        </w:rPr>
        <w:t>Brandon Ye</w:t>
      </w:r>
    </w:p>
    <w:p w14:paraId="0FA76899" w14:textId="77777777" w:rsidR="000749A4" w:rsidRDefault="000749A4" w:rsidP="00982694">
      <w:pPr>
        <w:rPr>
          <w:rFonts w:ascii="Century Schoolbook" w:hAnsi="Century Schoolbook"/>
          <w:sz w:val="22"/>
          <w:szCs w:val="22"/>
        </w:rPr>
      </w:pPr>
    </w:p>
    <w:p w14:paraId="2464610B" w14:textId="538D9B17" w:rsidR="00E91ED1" w:rsidRPr="007E3890" w:rsidRDefault="00E91ED1" w:rsidP="007E3890">
      <w:pPr>
        <w:jc w:val="both"/>
        <w:rPr>
          <w:rFonts w:ascii="Century Schoolbook" w:hAnsi="Century Schoolbook"/>
          <w:sz w:val="22"/>
          <w:szCs w:val="22"/>
        </w:rPr>
      </w:pPr>
      <w:r w:rsidRPr="007E3890">
        <w:rPr>
          <w:rFonts w:ascii="Century Schoolbook" w:hAnsi="Century Schoolbook"/>
          <w:b/>
          <w:bCs/>
          <w:sz w:val="22"/>
          <w:szCs w:val="22"/>
        </w:rPr>
        <w:t>2a.</w:t>
      </w:r>
      <w:r>
        <w:rPr>
          <w:rFonts w:ascii="Century Schoolbook" w:hAnsi="Century Schoolbook"/>
          <w:sz w:val="22"/>
          <w:szCs w:val="22"/>
        </w:rPr>
        <w:t xml:space="preserve"> SELEX-seq</w:t>
      </w:r>
      <w:r w:rsidR="00D43F20">
        <w:rPr>
          <w:rFonts w:ascii="Century Schoolbook" w:hAnsi="Century Schoolbook"/>
          <w:sz w:val="22"/>
          <w:szCs w:val="22"/>
        </w:rPr>
        <w:t xml:space="preserve"> </w:t>
      </w:r>
      <w:r w:rsidR="007E3890">
        <w:rPr>
          <w:rFonts w:ascii="Century Schoolbook" w:hAnsi="Century Schoolbook"/>
          <w:sz w:val="22"/>
          <w:szCs w:val="22"/>
        </w:rPr>
        <w:t xml:space="preserve">is an </w:t>
      </w:r>
      <w:r w:rsidR="007E3890">
        <w:rPr>
          <w:rFonts w:ascii="Century Schoolbook" w:hAnsi="Century Schoolbook"/>
          <w:i/>
          <w:iCs/>
          <w:sz w:val="22"/>
          <w:szCs w:val="22"/>
        </w:rPr>
        <w:t>in vitro</w:t>
      </w:r>
      <w:r w:rsidR="007E3890">
        <w:rPr>
          <w:rFonts w:ascii="Century Schoolbook" w:hAnsi="Century Schoolbook"/>
          <w:sz w:val="22"/>
          <w:szCs w:val="22"/>
        </w:rPr>
        <w:t xml:space="preserve"> experiment that is used to identify specific DNA or RNA sequences that bind to macromolecules such as proteins</w:t>
      </w:r>
      <w:r w:rsidR="00D43F20">
        <w:rPr>
          <w:rFonts w:ascii="Century Schoolbook" w:hAnsi="Century Schoolbook"/>
          <w:sz w:val="22"/>
          <w:szCs w:val="22"/>
        </w:rPr>
        <w:t>.</w:t>
      </w:r>
      <w:r w:rsidR="007E3890">
        <w:rPr>
          <w:rFonts w:ascii="Century Schoolbook" w:hAnsi="Century Schoolbook"/>
          <w:sz w:val="22"/>
          <w:szCs w:val="22"/>
        </w:rPr>
        <w:t xml:space="preserve"> PBM is an </w:t>
      </w:r>
      <w:r w:rsidR="007E3890">
        <w:rPr>
          <w:rFonts w:ascii="Century Schoolbook" w:hAnsi="Century Schoolbook"/>
          <w:i/>
          <w:iCs/>
          <w:sz w:val="22"/>
          <w:szCs w:val="22"/>
        </w:rPr>
        <w:t>in vitro</w:t>
      </w:r>
      <w:r w:rsidR="007E3890">
        <w:rPr>
          <w:rFonts w:ascii="Century Schoolbook" w:hAnsi="Century Schoolbook"/>
          <w:sz w:val="22"/>
          <w:szCs w:val="22"/>
        </w:rPr>
        <w:t xml:space="preserve"> experiment that characterizes DNA-macromolecule interactions utilizing a microarray containing DNA sequences, where incubation of the protein in the microarray and measurement of binding affinity provides information about binding affinities.</w:t>
      </w:r>
      <w:r w:rsidR="00D43F20">
        <w:rPr>
          <w:rFonts w:ascii="Century Schoolbook" w:hAnsi="Century Schoolbook"/>
          <w:sz w:val="22"/>
          <w:szCs w:val="22"/>
        </w:rPr>
        <w:t xml:space="preserve"> </w:t>
      </w:r>
    </w:p>
    <w:p w14:paraId="39EBA3F6" w14:textId="77777777" w:rsidR="00E91ED1" w:rsidRDefault="00E91ED1" w:rsidP="00982694">
      <w:pPr>
        <w:rPr>
          <w:rFonts w:ascii="Century Schoolbook" w:hAnsi="Century Schoolbook"/>
          <w:sz w:val="22"/>
          <w:szCs w:val="22"/>
        </w:rPr>
      </w:pPr>
    </w:p>
    <w:p w14:paraId="1FFDDA5A" w14:textId="0A0C80AF" w:rsidR="00E91ED1" w:rsidRPr="00D43F20" w:rsidRDefault="00E91ED1" w:rsidP="00431985">
      <w:pPr>
        <w:jc w:val="both"/>
        <w:rPr>
          <w:rFonts w:ascii="Century Schoolbook" w:hAnsi="Century Schoolbook"/>
          <w:sz w:val="22"/>
          <w:szCs w:val="22"/>
        </w:rPr>
      </w:pPr>
      <w:r w:rsidRPr="007E3890">
        <w:rPr>
          <w:rFonts w:ascii="Century Schoolbook" w:hAnsi="Century Schoolbook"/>
          <w:b/>
          <w:bCs/>
          <w:sz w:val="22"/>
          <w:szCs w:val="22"/>
        </w:rPr>
        <w:t>2b.</w:t>
      </w:r>
      <w:r>
        <w:rPr>
          <w:rFonts w:ascii="Century Schoolbook" w:hAnsi="Century Schoolbook"/>
          <w:sz w:val="22"/>
          <w:szCs w:val="22"/>
        </w:rPr>
        <w:t xml:space="preserve"> ChIP-seq</w:t>
      </w:r>
      <w:r w:rsidR="00D43F20">
        <w:rPr>
          <w:rFonts w:ascii="Century Schoolbook" w:hAnsi="Century Schoolbook"/>
          <w:sz w:val="22"/>
          <w:szCs w:val="22"/>
        </w:rPr>
        <w:t xml:space="preserve"> is an </w:t>
      </w:r>
      <w:r w:rsidR="00D43F20">
        <w:rPr>
          <w:rFonts w:ascii="Century Schoolbook" w:hAnsi="Century Schoolbook"/>
          <w:i/>
          <w:iCs/>
          <w:sz w:val="22"/>
          <w:szCs w:val="22"/>
        </w:rPr>
        <w:t>in vivo</w:t>
      </w:r>
      <w:r w:rsidR="00D43F20">
        <w:rPr>
          <w:rFonts w:ascii="Century Schoolbook" w:hAnsi="Century Schoolbook"/>
          <w:sz w:val="22"/>
          <w:szCs w:val="22"/>
        </w:rPr>
        <w:t xml:space="preserve"> experiment that</w:t>
      </w:r>
      <w:r w:rsidR="007E3890">
        <w:rPr>
          <w:rFonts w:ascii="Century Schoolbook" w:hAnsi="Century Schoolbook"/>
          <w:sz w:val="22"/>
          <w:szCs w:val="22"/>
        </w:rPr>
        <w:t xml:space="preserve"> </w:t>
      </w:r>
      <w:r w:rsidR="00431985">
        <w:rPr>
          <w:rFonts w:ascii="Century Schoolbook" w:hAnsi="Century Schoolbook"/>
          <w:sz w:val="22"/>
          <w:szCs w:val="22"/>
        </w:rPr>
        <w:t>associates certain regions of DNA associated with specific proteins by utilizing a specific antibody to precipitate protein-DNA complexes, which are then purified and sequences to map the DNA regions associated with the target protein.</w:t>
      </w:r>
    </w:p>
    <w:p w14:paraId="202DD805" w14:textId="77777777" w:rsidR="00C26625" w:rsidRDefault="00C26625" w:rsidP="00982694">
      <w:pPr>
        <w:rPr>
          <w:rFonts w:ascii="Century Schoolbook" w:hAnsi="Century Schoolbook"/>
          <w:sz w:val="22"/>
          <w:szCs w:val="22"/>
        </w:rPr>
      </w:pPr>
    </w:p>
    <w:p w14:paraId="3515B04E" w14:textId="34099FDA" w:rsidR="00C26625" w:rsidRPr="007E3890" w:rsidRDefault="00C26625" w:rsidP="007E3890">
      <w:pPr>
        <w:jc w:val="both"/>
        <w:rPr>
          <w:rFonts w:ascii="Century Schoolbook" w:hAnsi="Century Schoolbook"/>
          <w:i/>
          <w:iCs/>
          <w:sz w:val="22"/>
          <w:szCs w:val="22"/>
        </w:rPr>
      </w:pPr>
      <w:r w:rsidRPr="007E3890">
        <w:rPr>
          <w:rFonts w:ascii="Century Schoolbook" w:hAnsi="Century Schoolbook"/>
          <w:b/>
          <w:bCs/>
          <w:sz w:val="22"/>
          <w:szCs w:val="22"/>
        </w:rPr>
        <w:t xml:space="preserve">2c. </w:t>
      </w:r>
      <w:r w:rsidR="007E3890">
        <w:rPr>
          <w:rFonts w:ascii="Century Schoolbook" w:hAnsi="Century Schoolbook"/>
          <w:sz w:val="22"/>
          <w:szCs w:val="22"/>
        </w:rPr>
        <w:t xml:space="preserve">Both SELEX-seq and PBM provide control over experimental conditions at the sacrifice of measuring otherwise biologically relevant interactions that could be measured </w:t>
      </w:r>
      <w:r w:rsidR="007E3890">
        <w:rPr>
          <w:rFonts w:ascii="Century Schoolbook" w:hAnsi="Century Schoolbook"/>
          <w:i/>
          <w:iCs/>
          <w:sz w:val="22"/>
          <w:szCs w:val="22"/>
        </w:rPr>
        <w:t>in vivo</w:t>
      </w:r>
      <w:r w:rsidR="007E3890">
        <w:rPr>
          <w:rFonts w:ascii="Century Schoolbook" w:hAnsi="Century Schoolbook"/>
          <w:sz w:val="22"/>
          <w:szCs w:val="22"/>
        </w:rPr>
        <w:t>, such as in ChIP-seq.</w:t>
      </w:r>
    </w:p>
    <w:p w14:paraId="68AE7B32" w14:textId="77777777" w:rsidR="00E91ED1" w:rsidRPr="007E3890" w:rsidRDefault="00E91ED1" w:rsidP="00982694">
      <w:pPr>
        <w:rPr>
          <w:rFonts w:ascii="Century Schoolbook" w:hAnsi="Century Schoolbook"/>
          <w:b/>
          <w:bCs/>
          <w:sz w:val="22"/>
          <w:szCs w:val="22"/>
        </w:rPr>
      </w:pPr>
    </w:p>
    <w:p w14:paraId="08B91877" w14:textId="58564C2F" w:rsidR="00E91ED1" w:rsidRPr="00431985" w:rsidRDefault="00E91ED1" w:rsidP="004A37F8">
      <w:pPr>
        <w:jc w:val="both"/>
        <w:rPr>
          <w:rFonts w:ascii="Century Schoolbook" w:hAnsi="Century Schoolbook"/>
          <w:sz w:val="22"/>
          <w:szCs w:val="22"/>
        </w:rPr>
      </w:pPr>
      <w:r w:rsidRPr="007E3890">
        <w:rPr>
          <w:rFonts w:ascii="Century Schoolbook" w:hAnsi="Century Schoolbook"/>
          <w:b/>
          <w:bCs/>
          <w:sz w:val="22"/>
          <w:szCs w:val="22"/>
        </w:rPr>
        <w:t>5</w:t>
      </w:r>
      <w:r w:rsidR="007E3890">
        <w:rPr>
          <w:rFonts w:ascii="Century Schoolbook" w:hAnsi="Century Schoolbook"/>
          <w:b/>
          <w:bCs/>
          <w:sz w:val="22"/>
          <w:szCs w:val="22"/>
        </w:rPr>
        <w:t>b</w:t>
      </w:r>
      <w:r w:rsidRPr="007E3890">
        <w:rPr>
          <w:rFonts w:ascii="Century Schoolbook" w:hAnsi="Century Schoolbook"/>
          <w:b/>
          <w:bCs/>
          <w:sz w:val="22"/>
          <w:szCs w:val="22"/>
        </w:rPr>
        <w:t xml:space="preserve">. </w:t>
      </w:r>
      <w:r w:rsidR="00431985">
        <w:rPr>
          <w:rFonts w:ascii="Century Schoolbook" w:hAnsi="Century Schoolbook"/>
          <w:sz w:val="22"/>
          <w:szCs w:val="22"/>
        </w:rPr>
        <w:t xml:space="preserve">The points for Mad, Max, and Myc </w:t>
      </w:r>
      <w:r w:rsidR="002D0EBD">
        <w:rPr>
          <w:rFonts w:ascii="Century Schoolbook" w:hAnsi="Century Schoolbook"/>
          <w:sz w:val="22"/>
          <w:szCs w:val="22"/>
        </w:rPr>
        <w:t xml:space="preserve">each </w:t>
      </w:r>
      <w:r w:rsidR="00431985">
        <w:rPr>
          <w:rFonts w:ascii="Century Schoolbook" w:hAnsi="Century Schoolbook"/>
          <w:sz w:val="22"/>
          <w:szCs w:val="22"/>
        </w:rPr>
        <w:t xml:space="preserve">lie above the y=x line in the 1-mer+shape axis in the plot. </w:t>
      </w:r>
      <w:r w:rsidR="004A37F8">
        <w:rPr>
          <w:rFonts w:ascii="Century Schoolbook" w:hAnsi="Century Schoolbook"/>
          <w:sz w:val="22"/>
          <w:szCs w:val="22"/>
        </w:rPr>
        <w:t xml:space="preserve">Therefore, the R^2 value of the model is increased with the addition of shape, indicating that a greater proportion of variance in our output variable can be attributed to input features. </w:t>
      </w:r>
      <w:r w:rsidR="001E648F">
        <w:rPr>
          <w:rFonts w:ascii="Century Schoolbook" w:hAnsi="Century Schoolbook"/>
          <w:sz w:val="22"/>
          <w:szCs w:val="22"/>
        </w:rPr>
        <w:t>Consideration for shape can therefore improve model performance.</w:t>
      </w:r>
    </w:p>
    <w:p w14:paraId="3FEC44E7" w14:textId="77777777" w:rsidR="00E91ED1" w:rsidRPr="007E3890" w:rsidRDefault="00E91ED1" w:rsidP="00982694">
      <w:pPr>
        <w:rPr>
          <w:rFonts w:ascii="Century Schoolbook" w:hAnsi="Century Schoolbook"/>
          <w:b/>
          <w:bCs/>
          <w:sz w:val="22"/>
          <w:szCs w:val="22"/>
        </w:rPr>
      </w:pPr>
    </w:p>
    <w:p w14:paraId="661C2A2E" w14:textId="35049836" w:rsidR="00E91ED1" w:rsidRPr="009B26F3" w:rsidRDefault="00E91ED1" w:rsidP="002D5622">
      <w:pPr>
        <w:jc w:val="both"/>
        <w:rPr>
          <w:rFonts w:ascii="Century Schoolbook" w:hAnsi="Century Schoolbook"/>
          <w:sz w:val="22"/>
          <w:szCs w:val="22"/>
        </w:rPr>
      </w:pPr>
      <w:r w:rsidRPr="007E3890">
        <w:rPr>
          <w:rFonts w:ascii="Century Schoolbook" w:hAnsi="Century Schoolbook"/>
          <w:b/>
          <w:bCs/>
          <w:sz w:val="22"/>
          <w:szCs w:val="22"/>
        </w:rPr>
        <w:t>7</w:t>
      </w:r>
      <w:r w:rsidR="000749A4" w:rsidRPr="007E3890">
        <w:rPr>
          <w:rFonts w:ascii="Century Schoolbook" w:hAnsi="Century Schoolbook"/>
          <w:b/>
          <w:bCs/>
          <w:sz w:val="22"/>
          <w:szCs w:val="22"/>
        </w:rPr>
        <w:t>b.</w:t>
      </w:r>
      <w:r w:rsidR="004A37F8">
        <w:rPr>
          <w:rFonts w:ascii="Century Schoolbook" w:hAnsi="Century Schoolbook"/>
          <w:b/>
          <w:bCs/>
          <w:sz w:val="22"/>
          <w:szCs w:val="22"/>
        </w:rPr>
        <w:t xml:space="preserve"> </w:t>
      </w:r>
      <w:r w:rsidR="00387B00">
        <w:rPr>
          <w:rFonts w:ascii="Century Schoolbook" w:hAnsi="Century Schoolbook"/>
          <w:sz w:val="22"/>
          <w:szCs w:val="22"/>
        </w:rPr>
        <w:t xml:space="preserve">The ensemble plots generated by plotShape() for the DNA shape parameters MGW, and ProT, Roll, and HelT reveal differences between the bound and unbound sequences, primarily in the parameters ProT and HelT. In ProT, we observe an </w:t>
      </w:r>
      <w:r w:rsidR="002D5622">
        <w:rPr>
          <w:rFonts w:ascii="Century Schoolbook" w:hAnsi="Century Schoolbook"/>
          <w:sz w:val="22"/>
          <w:szCs w:val="22"/>
        </w:rPr>
        <w:t>absolute maximum</w:t>
      </w:r>
      <w:r w:rsidR="00387B00">
        <w:rPr>
          <w:rFonts w:ascii="Century Schoolbook" w:hAnsi="Century Schoolbook"/>
          <w:sz w:val="22"/>
          <w:szCs w:val="22"/>
        </w:rPr>
        <w:t xml:space="preserve"> near the center for the bound sequence, but only a relative maxim</w:t>
      </w:r>
      <w:r w:rsidR="002D5622">
        <w:rPr>
          <w:rFonts w:ascii="Century Schoolbook" w:hAnsi="Century Schoolbook"/>
          <w:sz w:val="22"/>
          <w:szCs w:val="22"/>
        </w:rPr>
        <w:t>um</w:t>
      </w:r>
      <w:r w:rsidR="00387B00">
        <w:rPr>
          <w:rFonts w:ascii="Century Schoolbook" w:hAnsi="Century Schoolbook"/>
          <w:sz w:val="22"/>
          <w:szCs w:val="22"/>
        </w:rPr>
        <w:t xml:space="preserve"> for the unbound sequence. </w:t>
      </w:r>
      <w:r w:rsidR="002D5622">
        <w:rPr>
          <w:rFonts w:ascii="Century Schoolbook" w:hAnsi="Century Schoolbook"/>
          <w:sz w:val="22"/>
          <w:szCs w:val="22"/>
        </w:rPr>
        <w:t>In HelT, fluctuations in the mean value are more pronounced in the bound sequence compared to the unbound sequence.</w:t>
      </w:r>
    </w:p>
    <w:p w14:paraId="618B25DD" w14:textId="77777777" w:rsidR="00E91ED1" w:rsidRDefault="00E91ED1" w:rsidP="00982694">
      <w:pPr>
        <w:rPr>
          <w:rFonts w:ascii="Century Schoolbook" w:hAnsi="Century Schoolbook"/>
          <w:sz w:val="22"/>
          <w:szCs w:val="22"/>
        </w:rPr>
      </w:pPr>
    </w:p>
    <w:p w14:paraId="3238727E" w14:textId="2E0A7F74" w:rsidR="00E91ED1" w:rsidRDefault="00E91ED1" w:rsidP="004A37F8">
      <w:pPr>
        <w:jc w:val="both"/>
        <w:rPr>
          <w:rFonts w:ascii="Century Schoolbook" w:hAnsi="Century Schoolbook"/>
          <w:sz w:val="22"/>
          <w:szCs w:val="22"/>
        </w:rPr>
      </w:pPr>
      <w:r w:rsidRPr="007E3890">
        <w:rPr>
          <w:rFonts w:ascii="Century Schoolbook" w:hAnsi="Century Schoolbook"/>
          <w:b/>
          <w:bCs/>
          <w:sz w:val="22"/>
          <w:szCs w:val="22"/>
        </w:rPr>
        <w:t>8</w:t>
      </w:r>
      <w:r w:rsidR="000749A4" w:rsidRPr="007E3890">
        <w:rPr>
          <w:rFonts w:ascii="Century Schoolbook" w:hAnsi="Century Schoolbook"/>
          <w:b/>
          <w:bCs/>
          <w:sz w:val="22"/>
          <w:szCs w:val="22"/>
        </w:rPr>
        <w:t>b.</w:t>
      </w:r>
      <w:r w:rsidR="007E3890">
        <w:rPr>
          <w:rFonts w:ascii="Century Schoolbook" w:hAnsi="Century Schoolbook"/>
          <w:sz w:val="22"/>
          <w:szCs w:val="22"/>
        </w:rPr>
        <w:t xml:space="preserve"> We observe that the AUC score for the 1-mer model curve is </w:t>
      </w:r>
      <w:r w:rsidR="003169A5">
        <w:rPr>
          <w:rFonts w:ascii="Century Schoolbook" w:hAnsi="Century Schoolbook"/>
          <w:sz w:val="22"/>
          <w:szCs w:val="22"/>
        </w:rPr>
        <w:t xml:space="preserve">0.858 </w:t>
      </w:r>
      <w:r w:rsidR="007E3890">
        <w:rPr>
          <w:rFonts w:ascii="Century Schoolbook" w:hAnsi="Century Schoolbook"/>
          <w:sz w:val="22"/>
          <w:szCs w:val="22"/>
        </w:rPr>
        <w:t>while the AUC score for the 1-mer+shape model curve is</w:t>
      </w:r>
      <w:r w:rsidR="003169A5">
        <w:rPr>
          <w:rFonts w:ascii="Century Schoolbook" w:hAnsi="Century Schoolbook"/>
          <w:sz w:val="22"/>
          <w:szCs w:val="22"/>
        </w:rPr>
        <w:t xml:space="preserve"> 0.875</w:t>
      </w:r>
      <w:r w:rsidR="007E3890">
        <w:rPr>
          <w:rFonts w:ascii="Century Schoolbook" w:hAnsi="Century Schoolbook"/>
          <w:sz w:val="22"/>
          <w:szCs w:val="22"/>
        </w:rPr>
        <w:t xml:space="preserve">. The AUC score for the 1-mer+shape model is higher. </w:t>
      </w:r>
      <w:r w:rsidR="004A37F8">
        <w:rPr>
          <w:rFonts w:ascii="Century Schoolbook" w:hAnsi="Century Schoolbook"/>
          <w:sz w:val="22"/>
          <w:szCs w:val="22"/>
        </w:rPr>
        <w:t>As we observed previously, consideration for shape improves the performance of the model.</w:t>
      </w:r>
    </w:p>
    <w:p w14:paraId="3A8D1222" w14:textId="77777777" w:rsidR="00E91ED1" w:rsidRPr="00982694" w:rsidRDefault="00E91ED1" w:rsidP="00982694">
      <w:pPr>
        <w:rPr>
          <w:rFonts w:ascii="Century Schoolbook" w:hAnsi="Century Schoolbook"/>
          <w:sz w:val="22"/>
          <w:szCs w:val="22"/>
        </w:rPr>
      </w:pPr>
    </w:p>
    <w:sectPr w:rsidR="00E91ED1" w:rsidRPr="00982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012"/>
    <w:rsid w:val="000749A4"/>
    <w:rsid w:val="000A0012"/>
    <w:rsid w:val="001E648F"/>
    <w:rsid w:val="002D0EBD"/>
    <w:rsid w:val="002D5622"/>
    <w:rsid w:val="003169A5"/>
    <w:rsid w:val="00387B00"/>
    <w:rsid w:val="00431985"/>
    <w:rsid w:val="004A37F8"/>
    <w:rsid w:val="007E3890"/>
    <w:rsid w:val="00982694"/>
    <w:rsid w:val="009B26F3"/>
    <w:rsid w:val="00B74D4B"/>
    <w:rsid w:val="00C26625"/>
    <w:rsid w:val="00D43F20"/>
    <w:rsid w:val="00E91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0B7293"/>
  <w15:chartTrackingRefBased/>
  <w15:docId w15:val="{9D2BAFAF-F88F-6D4C-98CB-5A604AA8F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031383">
      <w:bodyDiv w:val="1"/>
      <w:marLeft w:val="0"/>
      <w:marRight w:val="0"/>
      <w:marTop w:val="0"/>
      <w:marBottom w:val="0"/>
      <w:divBdr>
        <w:top w:val="none" w:sz="0" w:space="0" w:color="auto"/>
        <w:left w:val="none" w:sz="0" w:space="0" w:color="auto"/>
        <w:bottom w:val="none" w:sz="0" w:space="0" w:color="auto"/>
        <w:right w:val="none" w:sz="0" w:space="0" w:color="auto"/>
      </w:divBdr>
    </w:div>
    <w:div w:id="201229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cp:revision>
  <dcterms:created xsi:type="dcterms:W3CDTF">2023-10-24T20:58:00Z</dcterms:created>
  <dcterms:modified xsi:type="dcterms:W3CDTF">2023-10-26T10:00:00Z</dcterms:modified>
</cp:coreProperties>
</file>