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Computing Security and Compliance</w:t>
      </w:r>
    </w:p>
    <w:p>
      <w:pPr>
        <w:pStyle w:val="Heading2"/>
      </w:pPr>
      <w:r>
        <w:t>Introduction</w:t>
      </w:r>
    </w:p>
    <w:p>
      <w:r>
        <w:t>You store your data in the cloud. You gain scalability. You also gain exposure to security threats. You need to understand the regulatory frameworks protecting your data. This report covers GDPR, HIPAA, and PCI DSS. You will learn the requirements you must meet and the technical controls you must implement.</w:t>
      </w:r>
      <w:r>
        <w:rPr>
          <w:i/>
        </w:rPr>
        <w:t xml:space="preserve"> (Comer, 2021)</w:t>
      </w:r>
    </w:p>
    <w:p>
      <w:r>
        <w:t>Cloud adoption grows every year. You face new threats every month. Attackers target cloud misconfigurations. They exploit weak access controls. They harvest metadata from your storage buckets. You need a complete security strategy. You need legal compliance. You need technical controls. This report gives you the framework you need.</w:t>
      </w:r>
    </w:p>
    <w:p>
      <w:pPr>
        <w:pStyle w:val="Heading2"/>
      </w:pPr>
      <w:r>
        <w:t>NIST Cloud Computing Definition</w:t>
      </w:r>
    </w:p>
    <w:p>
      <w:r>
        <w:t>NIST published SP 800-145 in 2011. The document defines cloud computing. The definition identifies three service models. Infrastructure as a Service gives you control over operating systems and applications. Platform as a Service gives you control over applications only. Software as a Service gives you access to hosted software. You choose the model matching your security requirements.</w:t>
      </w:r>
      <w:r>
        <w:rPr>
          <w:i/>
        </w:rPr>
        <w:t xml:space="preserve"> (NIST, 2011)</w:t>
      </w:r>
    </w:p>
    <w:p>
      <w:pPr>
        <w:spacing w:before="40" w:after="80"/>
      </w:pPr>
      <w:r>
        <w:rPr>
          <w:sz w:val="18"/>
        </w:rPr>
        <w:t xml:space="preserve">  </w:t>
      </w:r>
      <w:hyperlink r:id="rId9">
        <w:r>
          <w:rPr>
            <w:color w:val="0563C1"/>
            <w:u w:val="single"/>
          </w:rPr>
          <w:t>Source: NIST SP 800-145 (2011)</w:t>
        </w:r>
      </w:hyperlink>
    </w:p>
    <w:p>
      <w:r>
        <w:t>NIST identifies four deployment models. Public clouds share resources across tenants. Private clouds serve single organizations. Community clouds serve groups with shared concerns. Hybrid clouds combine public and private resources. You select the deployment model based on your data sensitivity and compliance requirements.</w:t>
      </w:r>
    </w:p>
    <w:p>
      <w:r>
        <w:t>NIST identifies five essential characteristics. On-demand self service lets you provision resources without human interaction. Broad network access lets you connect from any device. Resource pooling lets the provider serve multiple tenants. Rapid elasticity lets you scale resources up and down. Measured service tracks resource usage. You understand these characteristics. You use them to evaluate provider security claims.</w:t>
      </w:r>
    </w:p>
    <w:p>
      <w:r>
        <w:t>The shared responsibility model determines who secures what. In Infrastructure as a Service, you secure the guest operating system, applications, and data. In Platform as a Service, you secure applications and data. In Software as a Service, you secure user access and configuration. You map your security controls to your service model.</w:t>
      </w:r>
    </w:p>
    <w:p>
      <w:pPr>
        <w:pStyle w:val="Heading2"/>
      </w:pPr>
      <w:r>
        <w:t>General Data Protection Regulation</w:t>
      </w:r>
    </w:p>
    <w:p>
      <w:r>
        <w:t>The European Union enacted GDPR in 2016. The regulation protects personal data. You must obtain consent before you process data. You must allow users to delete their data. Fines reach 4 percent of global annual revenue. You need privacy by design in your architecture. You conduct data protection impact assessments. You report breaches within 72 hours.</w:t>
      </w:r>
      <w:r>
        <w:rPr>
          <w:i/>
        </w:rPr>
        <w:t xml:space="preserve"> (European Union, 2016)</w:t>
      </w:r>
    </w:p>
    <w:p>
      <w:pPr>
        <w:spacing w:before="40" w:after="80"/>
      </w:pPr>
      <w:r>
        <w:rPr>
          <w:sz w:val="18"/>
        </w:rPr>
        <w:t xml:space="preserve">  </w:t>
      </w:r>
      <w:hyperlink r:id="rId10">
        <w:r>
          <w:rPr>
            <w:color w:val="0563C1"/>
            <w:u w:val="single"/>
          </w:rPr>
          <w:t>Source: GDPR Regulation 2016/679</w:t>
        </w:r>
      </w:hyperlink>
    </w:p>
    <w:p>
      <w:r>
        <w:t>You face specific challenges in the cloud. Data sovereignty laws restrict where you store data. You must erase data from backups and replicas. Your cloud provider must support these requirements. You verify provider data centers. You confirm data never leaves approved regions.</w:t>
      </w:r>
    </w:p>
    <w:p>
      <w:r>
        <w:t>GDPR establishes six lawful bases for processing. Consent gives you permission. Contract performance lets you process data for agreed services. Legal obligation requires processing. Vital interest protects someone life. Public task lets you perform official duties. Legitimate interest covers your business needs. You document the lawful basis for each data processing activity.</w:t>
      </w:r>
    </w:p>
    <w:p>
      <w:r>
        <w:t>You designate a Data Protection Officer when you process large scale sensitive data. The officer monitors compliance. The officer advises on impact assessments. The officer cooperates with supervisory authorities. You provide the officer with authority and resources. You make the officer directly accessible to regulators and data subjects.</w:t>
      </w:r>
    </w:p>
    <w:p>
      <w:r>
        <w:t>Data protection by design requires you to integrate privacy into your system architecture. You minimize data collection. You limit data retention. You encrypt data at rest. You encrypt data in transit. You implement access controls. You log data access. You test privacy controls regularly. You document your privacy measures.</w:t>
      </w:r>
    </w:p>
    <w:p>
      <w:pPr>
        <w:pStyle w:val="Heading2"/>
      </w:pPr>
      <w:r>
        <w:t>Health Insurance Portability and Accountability Act</w:t>
      </w:r>
    </w:p>
    <w:p>
      <w:r>
        <w:t>HHS enacted HIPAA in 1996. HHS updated the Privacy Rule in 2021. You must protect protected health information. You must sign Business Associate Agreements with your cloud providers. You must implement encryption and access controls. You must maintain audit logs.</w:t>
      </w:r>
      <w:r>
        <w:rPr>
          <w:i/>
        </w:rPr>
        <w:t xml:space="preserve"> (HHS, 2021)</w:t>
      </w:r>
    </w:p>
    <w:p>
      <w:pPr>
        <w:spacing w:before="40" w:after="80"/>
      </w:pPr>
      <w:r>
        <w:rPr>
          <w:sz w:val="18"/>
        </w:rPr>
        <w:t xml:space="preserve">  </w:t>
      </w:r>
      <w:hyperlink r:id="rId11">
        <w:r>
          <w:rPr>
            <w:color w:val="0563C1"/>
            <w:u w:val="single"/>
          </w:rPr>
          <w:t>Source: HHS HIPAA Privacy Rule</w:t>
        </w:r>
      </w:hyperlink>
    </w:p>
    <w:p>
      <w:r>
        <w:t>You share responsibility for security with your cloud provider. The provider secures the infrastructure. You secure your data and your access controls. You perform risk assessments before you migrate. You document your security controls. You test your controls annually.</w:t>
      </w:r>
    </w:p>
    <w:p>
      <w:r>
        <w:t>HIPAA requires administrative safeguards. You conduct security risk analyses. You implement workforce security. You establish contingency plans. You evaluate your providers. You train your employees. You document your policies. You update your procedures. You review your logs.</w:t>
      </w:r>
    </w:p>
    <w:p>
      <w:r>
        <w:t>HIPAA requires physical safeguards. You control facility access. You secure workstations. You manage device disposal. You transfer equipment securely. You verify these controls in your cloud environment. Your provider must demonstrate physical security.</w:t>
      </w:r>
    </w:p>
    <w:p>
      <w:r>
        <w:t>HIPAA requires technical safeguards. You implement access controls. You assign unique user identifiers. You enable automatic logoff. You encrypt ePHI. You verify person identity. You record system activity. You monitor your environment. You detect intrusions. You authenticate connections.</w:t>
      </w:r>
    </w:p>
    <w:p>
      <w:r>
        <w:t>You must notify individuals when you experience a breach affecting 500 or more records. You notify HHS within 60 days. You notify the media for large breaches. You maintain a breach log. You report all breaches to HHS annually, even smaller ones.</w:t>
      </w:r>
    </w:p>
    <w:p>
      <w:pPr>
        <w:pStyle w:val="Heading2"/>
      </w:pPr>
      <w:r>
        <w:t>Payment Card Industry Data Security Standard</w:t>
      </w:r>
    </w:p>
    <w:p>
      <w:r>
        <w:t>The PCI Security Standards Council published PCI DSS v4.0 in March 2022. The standard sets requirements for payment card data. You must segment your cardholder data environment. You must use strong cryptography. You must test your security controls continuously.</w:t>
      </w:r>
      <w:r>
        <w:rPr>
          <w:i/>
        </w:rPr>
        <w:t xml:space="preserve"> (PCI Security Standards Council, 2022)</w:t>
      </w:r>
    </w:p>
    <w:p>
      <w:pPr>
        <w:spacing w:before="40" w:after="80"/>
      </w:pPr>
      <w:r>
        <w:rPr>
          <w:sz w:val="18"/>
        </w:rPr>
        <w:t xml:space="preserve">  </w:t>
      </w:r>
      <w:hyperlink r:id="rId12">
        <w:r>
          <w:rPr>
            <w:color w:val="0563C1"/>
            <w:u w:val="single"/>
          </w:rPr>
          <w:t>Source: PCI DSS v4.0</w:t>
        </w:r>
      </w:hyperlink>
    </w:p>
    <w:p>
      <w:r>
        <w:t>Multi-tenant cloud environments complicate segmentation. You isolate your payment systems. You confirm your provider maintains PCI compliance. You request provider compliance documentation. You verify provider security certifications.</w:t>
      </w:r>
    </w:p>
    <w:p>
      <w:r>
        <w:t>PCI DSS requires you to build and maintain secure networks. You install firewalls. You configure network segments. You prohibit direct public access to cardholder data. You separate cardholder data from guest networks. You use network segmentation to reduce your scope.</w:t>
      </w:r>
    </w:p>
    <w:p>
      <w:r>
        <w:t>You protect cardholder data through encryption and access controls. You encrypt stored data. You encrypt transmitted data. You mask card numbers on displays. You protect cryptographic keys. You rotate keys regularly. You store keys separately from encrypted data.</w:t>
      </w:r>
    </w:p>
    <w:p>
      <w:r>
        <w:t>You develop and maintain secure systems. You install anti-virus software. You develop secure applications. You protect against malware. You patch systems promptly. You test patches before deployment. You review security configurations.</w:t>
      </w:r>
    </w:p>
    <w:p>
      <w:pPr>
        <w:pStyle w:val="Heading2"/>
      </w:pPr>
      <w:r>
        <w:t>Privacy Threats in Cloud Environments</w:t>
      </w:r>
    </w:p>
    <w:p>
      <w:r>
        <w:t>You think anonymized data is safe. Research proves otherwise. Narayanan and Shmatikov demonstrated de-anonymization attacks on social network data in 2009. Attackers link multiple data sources to re-identify individuals. You need differential privacy techniques. You need secure multi-party computation for analytics.</w:t>
      </w:r>
      <w:r>
        <w:rPr>
          <w:i/>
        </w:rPr>
        <w:t xml:space="preserve"> (Narayanan and Shmatikov, 2009)</w:t>
      </w:r>
    </w:p>
    <w:p>
      <w:pPr>
        <w:spacing w:before="40" w:after="80"/>
      </w:pPr>
      <w:r>
        <w:rPr>
          <w:sz w:val="18"/>
        </w:rPr>
        <w:t xml:space="preserve">  </w:t>
      </w:r>
      <w:hyperlink r:id="rId13">
        <w:r>
          <w:rPr>
            <w:color w:val="0563C1"/>
            <w:u w:val="single"/>
          </w:rPr>
          <w:t>Source: Narayanan and Shmatikov (2009)</w:t>
        </w:r>
      </w:hyperlink>
    </w:p>
    <w:p>
      <w:r>
        <w:t>Your cloud provider collects metadata. Metadata reveals user behavior. You encrypt data at rest. You encrypt data in transit. You minimize metadata retention. You configure access logging. You restrict who views logs.</w:t>
      </w:r>
    </w:p>
    <w:p>
      <w:r>
        <w:t>Data aggregation creates privacy risks. You combine datasets in the cloud. Combined data reveals patterns. Individual records become identifiable. You apply k-anonymity. You apply differential privacy. You add noise to query results. You limit data granularity.</w:t>
      </w:r>
    </w:p>
    <w:p>
      <w:r>
        <w:t>Insecure APIs expose your data. You authenticate API calls. You authorize API requests. You rate limit API calls. You log API activity. You monitor for anomalous API usage. You revoke unused API keys.</w:t>
      </w:r>
    </w:p>
    <w:p>
      <w:r>
        <w:t>Insider threats exist in your organization and your provider. You implement least privilege. You separate duties. You monitor privileged accounts. You rotate credentials. You audit access. You detect anomalous behavior.</w:t>
      </w:r>
    </w:p>
    <w:p>
      <w:pPr>
        <w:pStyle w:val="Heading2"/>
      </w:pPr>
      <w:r>
        <w:t>Threat Modeling in Cloud Environments</w:t>
      </w:r>
    </w:p>
    <w:p>
      <w:r>
        <w:t>You must identify threats before you deploy systems. Threat modeling helps you understand your attack surface. You map your architecture. You identify trust boundaries. You enumerate threats. You prioritize risks. You implement controls. You validate your defenses.</w:t>
      </w:r>
      <w:r>
        <w:rPr>
          <w:i/>
        </w:rPr>
        <w:t xml:space="preserve"> (Comer, 2021)</w:t>
      </w:r>
    </w:p>
    <w:p>
      <w:r>
        <w:t>You start with your architecture diagram. You identify every component. You identify data flows. You identify trust boundaries. You mark where data crosses security zones. You identify external dependencies. You identify third party integrations.</w:t>
      </w:r>
    </w:p>
    <w:p>
      <w:r>
        <w:t>You use the STRIDE framework. Spoofing attacks impersonate users. Tampering modifies data. Repudiation denies actions. Information disclosure leaks data. Denial of service disrupts availability. Elevation of privilege grants unauthorized access. You apply STRIDE to each component and data flow.</w:t>
      </w:r>
    </w:p>
    <w:p>
      <w:r>
        <w:t>You prioritize threats by likelihood and impact. You address high likelihood high impact threats first. You implement compensating controls for residual risk. You accept low risk items. You document your risk decisions.</w:t>
      </w:r>
    </w:p>
    <w:p>
      <w:r>
        <w:t>You update your threat model when you change architecture. You update it when new vulnerabilities emerge. You review it quarterly. You involve developers, security engineers, and operations staff. You keep threat models current.</w:t>
      </w:r>
    </w:p>
    <w:p>
      <w:pPr>
        <w:pStyle w:val="Heading2"/>
      </w:pPr>
      <w:r>
        <w:t>Encryption Strategies for Cloud Data</w:t>
      </w:r>
    </w:p>
    <w:p>
      <w:r>
        <w:t>Encryption protects your data in the cloud. You encrypt data at rest. You encrypt data in transit. You encrypt data in use. You manage cryptographic keys. You rotate keys regularly. You separate keys from encrypted data.</w:t>
      </w:r>
      <w:r>
        <w:rPr>
          <w:i/>
        </w:rPr>
        <w:t xml:space="preserve"> (Comer, 2021)</w:t>
      </w:r>
    </w:p>
    <w:p>
      <w:r>
        <w:t>You use AES-256 for data at rest. You use TLS 1.3 for data in transit. You verify cipher suites. You disable weak ciphers. You enforce certificate validation. You monitor certificate expiration.</w:t>
      </w:r>
    </w:p>
    <w:p>
      <w:r>
        <w:t>You implement client-side encryption for sensitive data. You encrypt data before it reaches the cloud. You control the keys. Your provider cannot read your data. You use envelope encryption. You use data encryption keys for data. You use key encryption keys for data keys.</w:t>
      </w:r>
    </w:p>
    <w:p>
      <w:r>
        <w:t>You explore homomorphic encryption for data in use. Homomorphic encryption lets you compute on encrypted data. You get encrypted results. You decrypt results to see answers. You keep data encrypted during processing. You trade performance for security.</w:t>
      </w:r>
    </w:p>
    <w:p>
      <w:r>
        <w:t>You implement key rotation policies. You rotate data encryption keys annually. You rotate key encryption keys biannually. You archive old keys for decryption. You securely destroy keys when retention expires. You document key lifecycle procedures.</w:t>
      </w:r>
    </w:p>
    <w:p>
      <w:pPr>
        <w:pStyle w:val="Heading2"/>
      </w:pPr>
      <w:r>
        <w:t>Identity and Access Management</w:t>
      </w:r>
    </w:p>
    <w:p>
      <w:r>
        <w:t>You implement zero trust architecture in your cloud environment. Zero trust assumes breach. You verify every request. You grant least privilege. You monitor continuously. You adapt controls based on risk.</w:t>
      </w:r>
      <w:r>
        <w:rPr>
          <w:i/>
        </w:rPr>
        <w:t xml:space="preserve"> (Muniyandi, 2025)</w:t>
      </w:r>
    </w:p>
    <w:p>
      <w:r>
        <w:t>You implement multi-factor authentication for all users. You require hardware tokens for administrators. You enforce password policies. You lock accounts after failed attempts. You expire credentials regularly.</w:t>
      </w:r>
    </w:p>
    <w:p>
      <w:r>
        <w:t>You implement role-based access control. You define roles. You assign permissions to roles. You assign users to roles. You review role assignments quarterly. You remove unused permissions. You follow the principle of least privilege.</w:t>
      </w:r>
    </w:p>
    <w:p>
      <w:r>
        <w:t>You implement time-bound access for privileged operations. You grant temporary elevated access. Access expires after the task completes. You require approval workflows. You log all privileged actions. You audit privileged access regularly.</w:t>
      </w:r>
    </w:p>
    <w:p>
      <w:r>
        <w:t>You implement identity federation. You use SAML or OpenID Connect. You centralize identity management. You enforce single sign-on. You control access from a single point. You reduce credential sprawl.</w:t>
      </w:r>
    </w:p>
    <w:p>
      <w:pPr>
        <w:pStyle w:val="Heading2"/>
      </w:pPr>
      <w:r>
        <w:t>Incident Response Procedures</w:t>
      </w:r>
    </w:p>
    <w:p>
      <w:r>
        <w:t>You need an incident response plan for your cloud environment. You detect incidents. You contain threats. You eradicate attackers. You recover systems. You learn from breaches. You improve your defenses.</w:t>
      </w:r>
      <w:r>
        <w:rPr>
          <w:i/>
        </w:rPr>
        <w:t xml:space="preserve"> (Tagore, 2020)</w:t>
      </w:r>
    </w:p>
    <w:p>
      <w:r>
        <w:t>You establish an incident response team. Your team includes security engineers, system administrators, legal counsel, and communications staff. You define roles and responsibilities. You document escalation procedures. You test your plan with tabletop exercises.</w:t>
      </w:r>
    </w:p>
    <w:p>
      <w:r>
        <w:t>You implement cloud-native logging. You collect logs from all services. You aggregate logs centrally. You retain logs for the period required by regulations. You protect log integrity. You detect tampering.</w:t>
      </w:r>
    </w:p>
    <w:p>
      <w:r>
        <w:t>You automate incident detection. You configure alerts for anomalous behavior. You trigger automated containment for critical alerts. You isolate compromised instances. You block malicious IPs. You revoke compromised credentials.</w:t>
      </w:r>
    </w:p>
    <w:p>
      <w:r>
        <w:t>You preserve evidence for forensic analysis. You snapshot compromised systems. You collect memory dumps. You preserve logs. You maintain chain of custody. You engage external forensics experts when needed.</w:t>
      </w:r>
    </w:p>
    <w:p>
      <w:r>
        <w:t>You conduct post-incident reviews. You identify root causes. You document lessons learned. You update your controls. You patch vulnerabilities. You revise your incident response plan. You prevent recurrence.</w:t>
      </w:r>
    </w:p>
    <w:p>
      <w:pPr>
        <w:pStyle w:val="Heading2"/>
      </w:pPr>
      <w:r>
        <w:t>Supply Chain Security</w:t>
      </w:r>
    </w:p>
    <w:p>
      <w:r>
        <w:t>Your cloud security depends on your third party vendors. You assess vendor security. You monitor vendor compliance. You require vendor transparency. You maintain exit strategies.</w:t>
      </w:r>
      <w:r>
        <w:rPr>
          <w:i/>
        </w:rPr>
        <w:t xml:space="preserve"> (Evans and Singh, 2025)</w:t>
      </w:r>
    </w:p>
    <w:p>
      <w:r>
        <w:t>You evaluate cloud providers before you sign contracts. You review their security certifications. You request SOC 2 reports. You verify ISO 27001 certification. You assess their incident history. You review their business continuity plans.</w:t>
      </w:r>
    </w:p>
    <w:p>
      <w:r>
        <w:t>You require contractual security commitments. You define security requirements in contracts. You require breach notification. You define data handling procedures. You specify data return and destruction. You reserve audit rights.</w:t>
      </w:r>
    </w:p>
    <w:p>
      <w:r>
        <w:t>You monitor vendor security continuously. You subscribe to vendor security advisories. You review vendor penetration test results. You assess third party dependencies. You evaluate vendors supply chain.</w:t>
      </w:r>
    </w:p>
    <w:p>
      <w:r>
        <w:t>You plan vendor exits. You maintain data portability. You implement multi-cloud strategies. You avoid vendor lock-in. You document migration procedures. You test exit procedures regularly.</w:t>
      </w:r>
    </w:p>
    <w:p>
      <w:pPr>
        <w:pStyle w:val="Heading2"/>
      </w:pPr>
      <w:r>
        <w:t>Continuous Monitoring and Compliance</w:t>
      </w:r>
    </w:p>
    <w:p>
      <w:r>
        <w:t>You monitor your cloud environment continuously. You detect configuration drift. You identify new vulnerabilities. You verify compliance. You report metrics to leadership.</w:t>
      </w:r>
      <w:r>
        <w:rPr>
          <w:i/>
        </w:rPr>
        <w:t xml:space="preserve"> (Comer, 2021)</w:t>
      </w:r>
    </w:p>
    <w:p>
      <w:r>
        <w:t>You implement cloud security posture management. You scan configurations continuously. You detect misconfigurations. You alert your team. You remediate issues automatically when possible. You track remediation SLAs.</w:t>
      </w:r>
    </w:p>
    <w:p>
      <w:r>
        <w:t>You implement cloud workload protection. You deploy agents on instances. You detect malware. You detect vulnerabilities. You monitor runtime behavior. You block exploits. You isolate compromised workloads.</w:t>
      </w:r>
    </w:p>
    <w:p>
      <w:r>
        <w:t>You automate compliance reporting. You map controls to frameworks. You generate compliance reports automatically. You prepare for audits. You reduce manual effort. You maintain compliance evidence.</w:t>
      </w:r>
    </w:p>
    <w:p>
      <w:r>
        <w:t>You conduct regular audits. You perform internal audits quarterly. You engage external auditors annually. You remediate findings promptly. You track audit results over time. You demonstrate continuous improvement.</w:t>
      </w:r>
    </w:p>
    <w:p>
      <w:pPr>
        <w:pStyle w:val="Heading2"/>
      </w:pPr>
      <w:r>
        <w:t>Data Classification and Handling</w:t>
      </w:r>
    </w:p>
    <w:p>
      <w:r>
        <w:t>You classify your data before you move it to the cloud. You identify public data. You identify internal data. You identify confidential data. You identify regulated data. You apply labels. You enforce handling procedures based on classification.</w:t>
      </w:r>
    </w:p>
    <w:p>
      <w:r>
        <w:t>You implement data loss prevention controls. You scan outbound traffic. You block unauthorized data transfers. You watermark sensitive documents. You restrict downloads. You monitor data exfiltration.</w:t>
      </w:r>
    </w:p>
    <w:p>
      <w:r>
        <w:t>You define retention policies. You specify retention periods by data type. You automate data deletion. You securely destroy expired data. You verify deletion. You document retention procedures.</w:t>
      </w:r>
    </w:p>
    <w:p>
      <w:r>
        <w:t>You implement data masking for non-production environments. You anonymize production data for development. You use synthetic data when possible. You restrict access to production data. You log all production data access.</w:t>
      </w:r>
    </w:p>
    <w:p>
      <w:pPr>
        <w:pStyle w:val="Heading2"/>
      </w:pPr>
      <w:r>
        <w:t>Conclusion</w:t>
      </w:r>
    </w:p>
    <w:p>
      <w:r>
        <w:t>You need a security strategy covering technical controls and legal compliance. GDPR, HIPAA, and PCI DSS set the baseline. You implement encryption and access controls. You monitor your environment. You update your controls as threats evolve. You protect your data. You protect your users.</w:t>
      </w:r>
      <w:r>
        <w:rPr>
          <w:i/>
        </w:rPr>
        <w:t xml:space="preserve"> (Comer, 2021 and Bellala, 2025 and Narayanan and Shmatikov, 2009)</w:t>
      </w:r>
    </w:p>
    <w:p>
      <w:r>
        <w:t>You implement threat modeling. You build zero trust architecture. You automate incident response. You audit your supply chain. You classify your data. You monitor continuously. You maintain compliance. You reduce risk.</w:t>
      </w:r>
    </w:p>
    <w:p>
      <w:r>
        <w:t>Cloud security requires ongoing commitment. You review your controls regularly. You update your procedures. You train your staff. You adapt to new threats. You protect your organization.</w:t>
      </w:r>
    </w:p>
    <w:p>
      <w:r>
        <w:br w:type="page"/>
      </w:r>
    </w:p>
    <w:p>
      <w:pPr>
        <w:pStyle w:val="Heading1"/>
      </w:pPr>
      <w:r>
        <w:t>References</w:t>
      </w:r>
    </w:p>
    <w:p>
      <w:pPr>
        <w:spacing w:after="120"/>
        <w:ind w:left="720" w:hanging="720"/>
      </w:pPr>
      <w:r>
        <w:rPr>
          <w:sz w:val="20"/>
        </w:rPr>
        <w:t xml:space="preserve">Bellala, K. R. (2025). </w:t>
      </w:r>
      <w:r>
        <w:rPr>
          <w:i/>
          <w:sz w:val="20"/>
        </w:rPr>
        <w:t>Data privacy and compliance in the cloud (GDPR, HIPAA, CCPA)</w:t>
      </w:r>
      <w:r>
        <w:rPr>
          <w:sz w:val="20"/>
        </w:rPr>
        <w:t xml:space="preserve">. International Journal of Innovative Science and Research Technology, 10(7). </w:t>
      </w:r>
    </w:p>
    <w:p>
      <w:pPr>
        <w:spacing w:after="40" w:before="0"/>
        <w:ind w:left="1440"/>
      </w:pPr>
      <w:hyperlink r:id="rId14">
        <w:r>
          <w:rPr>
            <w:color w:val="0563C1"/>
            <w:u w:val="single"/>
          </w:rPr>
          <w:t>https://doi.org/10.38124/ijisrt/25jul1264</w:t>
        </w:r>
      </w:hyperlink>
    </w:p>
    <w:p>
      <w:pPr>
        <w:spacing w:after="120"/>
        <w:ind w:left="720" w:hanging="720"/>
      </w:pPr>
      <w:r>
        <w:rPr>
          <w:sz w:val="20"/>
        </w:rPr>
        <w:t xml:space="preserve">Comer, D. E. (2021). </w:t>
      </w:r>
      <w:r>
        <w:rPr>
          <w:i/>
          <w:sz w:val="20"/>
        </w:rPr>
        <w:t>Cloud security and privacy</w:t>
      </w:r>
      <w:r>
        <w:rPr>
          <w:sz w:val="20"/>
        </w:rPr>
        <w:t xml:space="preserve"> (2nd ed.). Chapman and Hall/CRC. </w:t>
      </w:r>
    </w:p>
    <w:p>
      <w:pPr>
        <w:spacing w:after="40" w:before="0"/>
        <w:ind w:left="1440"/>
      </w:pPr>
      <w:hyperlink r:id="rId15">
        <w:r>
          <w:rPr>
            <w:color w:val="0563C1"/>
            <w:u w:val="single"/>
          </w:rPr>
          <w:t>https://doi.org/10.1201/9781003147503-22</w:t>
        </w:r>
      </w:hyperlink>
    </w:p>
    <w:p>
      <w:pPr>
        <w:spacing w:after="120"/>
        <w:ind w:left="720" w:hanging="720"/>
      </w:pPr>
      <w:r>
        <w:rPr>
          <w:sz w:val="20"/>
        </w:rPr>
        <w:t xml:space="preserve">Evans, A., and Singh, A. (2025). </w:t>
      </w:r>
      <w:r>
        <w:rPr>
          <w:i/>
          <w:sz w:val="20"/>
        </w:rPr>
        <w:t>Third-party vendor audit</w:t>
      </w:r>
      <w:r>
        <w:rPr>
          <w:sz w:val="20"/>
        </w:rPr>
        <w:t xml:space="preserve">. In Supply chain security and risk management (pp. 345-368). Routledge. </w:t>
      </w:r>
    </w:p>
    <w:p>
      <w:pPr>
        <w:spacing w:after="40" w:before="0"/>
        <w:ind w:left="1440"/>
      </w:pPr>
      <w:hyperlink r:id="rId16">
        <w:r>
          <w:rPr>
            <w:color w:val="0563C1"/>
            <w:u w:val="single"/>
          </w:rPr>
          <w:t>https://doi.org/10.4324/9781003581321-23</w:t>
        </w:r>
      </w:hyperlink>
    </w:p>
    <w:p>
      <w:pPr>
        <w:spacing w:after="120"/>
        <w:ind w:left="720" w:hanging="720"/>
      </w:pPr>
      <w:r>
        <w:rPr>
          <w:sz w:val="20"/>
        </w:rPr>
        <w:t xml:space="preserve">European Union. (2016). </w:t>
      </w:r>
      <w:r>
        <w:rPr>
          <w:i/>
          <w:sz w:val="20"/>
        </w:rPr>
        <w:t>Regulation (EU) 2016/679 on the protection of natural persons regarding the processing of personal data (General Data Protection Regulation)</w:t>
      </w:r>
      <w:r>
        <w:rPr>
          <w:sz w:val="20"/>
        </w:rPr>
        <w:t xml:space="preserve">. Official Journal of the European Union. </w:t>
      </w:r>
    </w:p>
    <w:p>
      <w:pPr>
        <w:spacing w:after="40" w:before="0"/>
        <w:ind w:left="1440"/>
      </w:pPr>
      <w:hyperlink r:id="rId10">
        <w:r>
          <w:rPr>
            <w:color w:val="0563C1"/>
            <w:u w:val="single"/>
          </w:rPr>
          <w:t>https://eur-lex.europa.eu/legal-content/EN/TXT/?uri=CELEX:32016R0679</w:t>
        </w:r>
      </w:hyperlink>
    </w:p>
    <w:p>
      <w:pPr>
        <w:spacing w:after="120"/>
        <w:ind w:left="720" w:hanging="720"/>
      </w:pPr>
      <w:r>
        <w:rPr>
          <w:sz w:val="20"/>
        </w:rPr>
        <w:t xml:space="preserve">Muniyandi, V. (2025). </w:t>
      </w:r>
      <w:r>
        <w:rPr>
          <w:i/>
          <w:sz w:val="20"/>
        </w:rPr>
        <w:t>Zero-trust security architecture for hybrid cloud deployments</w:t>
      </w:r>
      <w:r>
        <w:rPr>
          <w:sz w:val="20"/>
        </w:rPr>
        <w:t xml:space="preserve">. SSRN. </w:t>
      </w:r>
    </w:p>
    <w:p>
      <w:pPr>
        <w:spacing w:after="40" w:before="0"/>
        <w:ind w:left="1440"/>
      </w:pPr>
      <w:hyperlink r:id="rId17">
        <w:r>
          <w:rPr>
            <w:color w:val="0563C1"/>
            <w:u w:val="single"/>
          </w:rPr>
          <w:t>https://doi.org/10.2139/ssrn.5363397</w:t>
        </w:r>
      </w:hyperlink>
    </w:p>
    <w:p>
      <w:pPr>
        <w:spacing w:after="120"/>
        <w:ind w:left="720" w:hanging="720"/>
      </w:pPr>
      <w:r>
        <w:rPr>
          <w:sz w:val="20"/>
        </w:rPr>
        <w:t xml:space="preserve">Narayanan, A., and Shmatikov, V. (2009). </w:t>
      </w:r>
      <w:r>
        <w:rPr>
          <w:i/>
          <w:sz w:val="20"/>
        </w:rPr>
        <w:t>De-anonymizing social networks</w:t>
      </w:r>
      <w:r>
        <w:rPr>
          <w:sz w:val="20"/>
        </w:rPr>
        <w:t xml:space="preserve">. In 2009 IEEE Symposium on Security and Privacy (pp. 173-187). IEEE. </w:t>
      </w:r>
    </w:p>
    <w:p>
      <w:pPr>
        <w:spacing w:after="40" w:before="0"/>
        <w:ind w:left="1440"/>
      </w:pPr>
      <w:hyperlink r:id="rId13">
        <w:r>
          <w:rPr>
            <w:color w:val="0563C1"/>
            <w:u w:val="single"/>
          </w:rPr>
          <w:t>https://doi.org/10.1109/sp.2009.22</w:t>
        </w:r>
      </w:hyperlink>
    </w:p>
    <w:p>
      <w:pPr>
        <w:spacing w:after="120"/>
        <w:ind w:left="720" w:hanging="720"/>
      </w:pPr>
      <w:r>
        <w:rPr>
          <w:sz w:val="20"/>
        </w:rPr>
        <w:t xml:space="preserve">National Institute of Standards and Technology. (2011). </w:t>
      </w:r>
      <w:r>
        <w:rPr>
          <w:i/>
          <w:sz w:val="20"/>
        </w:rPr>
        <w:t>The Internet of Things: Vision and challenges (NIST SP 800-145)</w:t>
      </w:r>
      <w:r>
        <w:rPr>
          <w:sz w:val="20"/>
        </w:rPr>
        <w:t xml:space="preserve">. U.S. Department of Commerce. </w:t>
      </w:r>
    </w:p>
    <w:p>
      <w:pPr>
        <w:spacing w:after="40" w:before="0"/>
        <w:ind w:left="1440"/>
      </w:pPr>
      <w:hyperlink r:id="rId9">
        <w:r>
          <w:rPr>
            <w:color w:val="0563C1"/>
            <w:u w:val="single"/>
          </w:rPr>
          <w:t>https://csrc.nist.gov/pubs/sp/800/145/final</w:t>
        </w:r>
      </w:hyperlink>
    </w:p>
    <w:p>
      <w:pPr>
        <w:spacing w:after="120"/>
        <w:ind w:left="720" w:hanging="720"/>
      </w:pPr>
      <w:r>
        <w:rPr>
          <w:sz w:val="20"/>
        </w:rPr>
        <w:t xml:space="preserve">PCI Security Standards Council. (2022). </w:t>
      </w:r>
      <w:r>
        <w:rPr>
          <w:i/>
          <w:sz w:val="20"/>
        </w:rPr>
        <w:t>Payment Card Industry Data Security Standard (PCI DSS) version 4.0</w:t>
      </w:r>
      <w:r>
        <w:rPr>
          <w:sz w:val="20"/>
        </w:rPr>
        <w:t xml:space="preserve">. PCI Security Standards Council. </w:t>
      </w:r>
    </w:p>
    <w:p>
      <w:pPr>
        <w:spacing w:after="40" w:before="0"/>
        <w:ind w:left="1440"/>
      </w:pPr>
      <w:hyperlink r:id="rId12">
        <w:r>
          <w:rPr>
            <w:color w:val="0563C1"/>
            <w:u w:val="single"/>
          </w:rPr>
          <w:t>https://www.pcisecuritystandards.org/document_library/</w:t>
        </w:r>
      </w:hyperlink>
    </w:p>
    <w:p>
      <w:pPr>
        <w:spacing w:after="120"/>
        <w:ind w:left="720" w:hanging="720"/>
      </w:pPr>
      <w:r>
        <w:rPr>
          <w:sz w:val="20"/>
        </w:rPr>
        <w:t xml:space="preserve">Tagore, A. (2020). </w:t>
      </w:r>
      <w:r>
        <w:rPr>
          <w:i/>
          <w:sz w:val="20"/>
        </w:rPr>
        <w:t>Cloud computing and incident response</w:t>
      </w:r>
      <w:r>
        <w:rPr>
          <w:sz w:val="20"/>
        </w:rPr>
        <w:t xml:space="preserve">. Cloud Security Alliance. </w:t>
      </w:r>
    </w:p>
    <w:p>
      <w:pPr>
        <w:spacing w:after="40" w:before="0"/>
        <w:ind w:left="1440"/>
      </w:pPr>
      <w:hyperlink r:id="rId18">
        <w:r>
          <w:rPr>
            <w:color w:val="0563C1"/>
            <w:u w:val="single"/>
          </w:rPr>
          <w:t>https://doi.org/10.46293/4n6/2020.02.04.12</w:t>
        </w:r>
      </w:hyperlink>
    </w:p>
    <w:p>
      <w:pPr>
        <w:spacing w:after="120"/>
        <w:ind w:left="720" w:hanging="720"/>
      </w:pPr>
      <w:r>
        <w:rPr>
          <w:sz w:val="20"/>
        </w:rPr>
        <w:t xml:space="preserve">U.S. Department of Health and Human Services. (2021). </w:t>
      </w:r>
      <w:r>
        <w:rPr>
          <w:i/>
          <w:sz w:val="20"/>
        </w:rPr>
        <w:t>HIPAA Privacy Rule: Modifications to the Privacy, Security, and Breach Notification Rules</w:t>
      </w:r>
      <w:r>
        <w:rPr>
          <w:sz w:val="20"/>
        </w:rPr>
        <w:t xml:space="preserve">. Federal Register, 86(177). </w:t>
      </w:r>
    </w:p>
    <w:p>
      <w:pPr>
        <w:spacing w:after="40" w:before="0"/>
        <w:ind w:left="1440"/>
      </w:pPr>
      <w:hyperlink r:id="rId11">
        <w:r>
          <w:rPr>
            <w:color w:val="0563C1"/>
            <w:u w:val="single"/>
          </w:rPr>
          <w:t>https://www.hhs.gov/hipaa/for-professionals/privacy/index.html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src.nist.gov/pubs/sp/800/145/final" TargetMode="External"/><Relationship Id="rId10" Type="http://schemas.openxmlformats.org/officeDocument/2006/relationships/hyperlink" Target="https://eur-lex.europa.eu/legal-content/EN/TXT/?uri=CELEX:32016R0679" TargetMode="External"/><Relationship Id="rId11" Type="http://schemas.openxmlformats.org/officeDocument/2006/relationships/hyperlink" Target="https://www.hhs.gov/hipaa/for-professionals/privacy/index.html" TargetMode="External"/><Relationship Id="rId12" Type="http://schemas.openxmlformats.org/officeDocument/2006/relationships/hyperlink" Target="https://www.pcisecuritystandards.org/document_library/" TargetMode="External"/><Relationship Id="rId13" Type="http://schemas.openxmlformats.org/officeDocument/2006/relationships/hyperlink" Target="https://doi.org/10.1109/sp.2009.22" TargetMode="External"/><Relationship Id="rId14" Type="http://schemas.openxmlformats.org/officeDocument/2006/relationships/hyperlink" Target="https://doi.org/10.38124/ijisrt/25jul1264" TargetMode="External"/><Relationship Id="rId15" Type="http://schemas.openxmlformats.org/officeDocument/2006/relationships/hyperlink" Target="https://doi.org/10.1201/9781003147503-22" TargetMode="External"/><Relationship Id="rId16" Type="http://schemas.openxmlformats.org/officeDocument/2006/relationships/hyperlink" Target="https://doi.org/10.4324/9781003581321-23" TargetMode="External"/><Relationship Id="rId17" Type="http://schemas.openxmlformats.org/officeDocument/2006/relationships/hyperlink" Target="https://doi.org/10.2139/ssrn.5363397" TargetMode="External"/><Relationship Id="rId18" Type="http://schemas.openxmlformats.org/officeDocument/2006/relationships/hyperlink" Target="https://doi.org/10.46293/4n6/2020.02.0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