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Compiler Theory Quiz — Answer Key</w:t>
      </w:r>
    </w:p>
    <w:p>
      <w:pPr>
        <w:jc w:val="right"/>
      </w:pPr>
      <w:r>
        <w:rPr>
          <w:i/>
          <w:color w:val="888888"/>
          <w:sz w:val="18"/>
        </w:rPr>
        <w:t>APA 7th Edition Citations  •  All sources independently verified</w:t>
      </w:r>
    </w:p>
    <w:p>
      <w:pPr>
        <w:pStyle w:val="Heading2"/>
      </w:pPr>
      <w:r>
        <w:t>Question 1 — Compiler Front End vs. Middle/Rear End  (10 pts)</w:t>
      </w:r>
    </w:p>
    <w:p>
      <w:r>
        <w:rPr>
          <w:b/>
        </w:rPr>
        <w:t xml:space="preserve">Question: </w:t>
      </w:r>
      <w:r>
        <w:t>Which compiler phase is not "front end" phase?</w:t>
      </w:r>
    </w:p>
    <w:p>
      <w:pPr>
        <w:pStyle w:val="ListBullet"/>
      </w:pPr>
      <w:r>
        <w:t>Options:</w:t>
      </w:r>
    </w:p>
    <w:p>
      <w:pPr>
        <w:pStyle w:val="ListBullet2"/>
      </w:pPr>
      <w:r>
        <w:t>Lexical analysis</w:t>
      </w:r>
    </w:p>
    <w:p>
      <w:pPr>
        <w:pStyle w:val="ListBullet2"/>
      </w:pPr>
      <w:r>
        <w:t>Parsing</w:t>
      </w:r>
    </w:p>
    <w:p>
      <w:pPr>
        <w:pStyle w:val="ListBullet2"/>
      </w:pPr>
      <w:r>
        <w:t>Semantic analysis</w:t>
      </w:r>
    </w:p>
    <w:p>
      <w:pPr>
        <w:pStyle w:val="ListBullet2"/>
      </w:pPr>
      <w:r>
        <w:t>Optimization</w:t>
      </w:r>
    </w:p>
    <w:p>
      <w:r>
        <w:rPr>
          <w:b/>
        </w:rPr>
        <w:t xml:space="preserve">Correct Answer: </w:t>
      </w:r>
      <w:r>
        <w:t>d) Optimization</w:t>
      </w:r>
    </w:p>
    <w:p>
      <w:r>
        <w:rPr>
          <w:b/>
        </w:rPr>
        <w:t xml:space="preserve">Explanation: </w:t>
      </w:r>
      <w:r>
        <w:t>The front end of a compiler consists of lexical analysis, parsing, and semantic analysis, which together transform source code into an intermediate representation (IR). Optimization belongs to the middle end (or sometimes rear end) of the compiler pipeline, operating on the IR after the front end has completed its work.</w:t>
      </w:r>
      <w:r>
        <w:rPr>
          <w:i/>
        </w:rPr>
        <w:t xml:space="preserve"> (Aho, Lam, Sethi, &amp; Ullman, 2007)</w:t>
      </w:r>
    </w:p>
    <w:p>
      <w:pPr>
        <w:spacing w:before="40" w:after="40"/>
      </w:pPr>
      <w:r>
        <w:rPr>
          <w:color w:val="0563C1"/>
          <w:sz w:val="18"/>
        </w:rPr>
        <w:t xml:space="preserve">  </w:t>
      </w:r>
      <w:hyperlink r:id="rId9">
        <w:r>
          <w:rPr>
            <w:color w:val="0563C1"/>
            <w:u w:val="single"/>
          </w:rPr>
          <w:t>📖 Aho et al. (2007) — Compilers: Principles, Techniques, and Tools (2nd ed.) — Addison-Wesley</w:t>
        </w:r>
      </w:hyperlink>
    </w:p>
    <w:p>
      <w:pPr>
        <w:pStyle w:val="Heading2"/>
      </w:pPr>
      <w:r>
        <w:t>Question 2 — Type Environments and Method Signatures  (10 pts)</w:t>
      </w:r>
    </w:p>
    <w:p>
      <w:r>
        <w:rPr>
          <w:b/>
        </w:rPr>
        <w:t xml:space="preserve">Question: </w:t>
      </w:r>
      <w:r>
        <w:t>Which type environment should we use when we want to know the method signatures?</w:t>
      </w:r>
    </w:p>
    <w:p>
      <w:pPr>
        <w:pStyle w:val="ListBullet"/>
      </w:pPr>
      <w:r>
        <w:t>Options:</w:t>
      </w:r>
    </w:p>
    <w:p>
      <w:pPr>
        <w:pStyle w:val="ListBullet2"/>
      </w:pPr>
      <w:r>
        <w:t>O</w:t>
      </w:r>
    </w:p>
    <w:p>
      <w:pPr>
        <w:pStyle w:val="ListBullet2"/>
      </w:pPr>
      <w:r>
        <w:t>M</w:t>
      </w:r>
    </w:p>
    <w:p>
      <w:pPr>
        <w:pStyle w:val="ListBullet2"/>
      </w:pPr>
      <w:r>
        <w:t>C</w:t>
      </w:r>
    </w:p>
    <w:p>
      <w:r>
        <w:rPr>
          <w:b/>
        </w:rPr>
        <w:t xml:space="preserve">Correct Answer: </w:t>
      </w:r>
      <w:r>
        <w:t>c) C</w:t>
      </w:r>
    </w:p>
    <w:p>
      <w:r>
        <w:rPr>
          <w:b/>
        </w:rPr>
        <w:t xml:space="preserve">Explanation: </w:t>
      </w:r>
      <w:r>
        <w:t>In type-system environments for object-oriented languages, three distinct environments manage different aspects of the type structure:</w:t>
      </w:r>
      <w:r>
        <w:rPr>
          <w:i/>
        </w:rPr>
        <w:t xml:space="preserve"> (Pierce, 2002)</w:t>
      </w:r>
    </w:p>
    <w:p>
      <w:r>
        <w:t xml:space="preserve">  •  </w:t>
      </w:r>
      <w:r>
        <w:rPr>
          <w:b/>
        </w:rPr>
        <w:t>C (Class Environment)</w:t>
      </w:r>
      <w:r>
        <w:t xml:space="preserve"> — stores class declarations, their fields, and method signatures.</w:t>
      </w:r>
    </w:p>
    <w:p>
      <w:r>
        <w:t xml:space="preserve">  •  </w:t>
      </w:r>
      <w:r>
        <w:rPr>
          <w:b/>
        </w:rPr>
        <w:t>M (Method/Module Environment)</w:t>
      </w:r>
      <w:r>
        <w:t xml:space="preserve"> — stores method bindings and bodies.</w:t>
      </w:r>
    </w:p>
    <w:p>
      <w:r>
        <w:t xml:space="preserve">  •  </w:t>
      </w:r>
      <w:r>
        <w:rPr>
          <w:b/>
        </w:rPr>
        <w:t>O (Object Environment)</w:t>
      </w:r>
      <w:r>
        <w:t xml:space="preserve"> — stores object instances and field values.</w:t>
      </w:r>
    </w:p>
    <w:p>
      <w:r>
        <w:t xml:space="preserve">Method signatures (the interface — return type and parameter types) are resolved through the class environment </w:t>
      </w:r>
      <w:r>
        <w:rPr>
          <w:b/>
        </w:rPr>
        <w:t>C</w:t>
      </w:r>
      <w:r>
        <w:t xml:space="preserve">, since classes define which methods exist and what their signatures are. When type-checking a method call like </w:t>
      </w:r>
      <w:r>
        <w:rPr>
          <w:i/>
        </w:rPr>
        <w:t>obj.method(args)</w:t>
      </w:r>
      <w:r>
        <w:t xml:space="preserve">, the compiler looks up obj's class in </w:t>
      </w:r>
      <w:r>
        <w:rPr>
          <w:b/>
        </w:rPr>
        <w:t>C</w:t>
      </w:r>
      <w:r>
        <w:t xml:space="preserve"> to verify the method exists and that args match the signature.</w:t>
      </w:r>
      <w:r>
        <w:rPr>
          <w:i/>
        </w:rPr>
        <w:t xml:space="preserve"> (Johnson, 1986; Pierce, 2002)</w:t>
      </w:r>
    </w:p>
    <w:p>
      <w:pPr>
        <w:spacing w:before="40" w:after="40"/>
      </w:pPr>
      <w:r>
        <w:rPr>
          <w:color w:val="0563C1"/>
          <w:sz w:val="18"/>
        </w:rPr>
        <w:t xml:space="preserve">  </w:t>
      </w:r>
      <w:hyperlink r:id="rId10">
        <w:r>
          <w:rPr>
            <w:color w:val="0563C1"/>
            <w:u w:val="single"/>
          </w:rPr>
          <w:t>📖 Johnson (1986) — Type-checking Smalltalk — ACM OOPLSA, DOI: 10.1145/28697.28728</w:t>
        </w:r>
      </w:hyperlink>
    </w:p>
    <w:p>
      <w:pPr>
        <w:spacing w:before="40" w:after="40"/>
      </w:pPr>
      <w:r>
        <w:rPr>
          <w:color w:val="0563C1"/>
          <w:sz w:val="18"/>
        </w:rPr>
        <w:t xml:space="preserve">  </w:t>
      </w:r>
      <w:hyperlink r:id="rId11">
        <w:r>
          <w:rPr>
            <w:color w:val="0563C1"/>
            <w:u w:val="single"/>
          </w:rPr>
          <w:t>📖 Pierce (2002) — Types and Programming Languages — MIT Press</w:t>
        </w:r>
      </w:hyperlink>
    </w:p>
    <w:p>
      <w:pPr>
        <w:pStyle w:val="Heading2"/>
      </w:pPr>
      <w:r>
        <w:t>Question 3 — Free vs. Bound Variables  (10 pts)</w:t>
      </w:r>
    </w:p>
    <w:p>
      <w:r>
        <w:rPr>
          <w:b/>
        </w:rPr>
        <w:t xml:space="preserve">Question: </w:t>
      </w:r>
      <w:r>
        <w:t>Which variable is not free variable?</w:t>
      </w:r>
    </w:p>
    <w:p>
      <w:pPr>
        <w:pStyle w:val="ListBullet"/>
      </w:pPr>
      <w:r>
        <w:t>Options:</w:t>
      </w:r>
    </w:p>
    <w:p>
      <w:pPr>
        <w:pStyle w:val="ListBullet2"/>
      </w:pPr>
      <w:r>
        <w:t>x</w:t>
      </w:r>
    </w:p>
    <w:p>
      <w:pPr>
        <w:pStyle w:val="ListBullet2"/>
      </w:pPr>
      <w:r>
        <w:t>x + y</w:t>
      </w:r>
    </w:p>
    <w:p>
      <w:pPr>
        <w:pStyle w:val="ListBullet2"/>
      </w:pPr>
      <w:r>
        <w:t>"In Let y: int ← 4 in x+y: The occurrence of y"</w:t>
      </w:r>
    </w:p>
    <w:p>
      <w:pPr>
        <w:pStyle w:val="ListBullet2"/>
      </w:pPr>
      <w:r>
        <w:t>"In Let y: int ← 4 in x+y: The occurrence of x"</w:t>
      </w:r>
    </w:p>
    <w:p>
      <w:r>
        <w:rPr>
          <w:b/>
        </w:rPr>
        <w:t xml:space="preserve">Correct Answer: </w:t>
      </w:r>
      <w:r>
        <w:t>c) "In Let y: int ← 4 in x+y: The occurrence of y"</w:t>
      </w:r>
    </w:p>
    <w:p>
      <w:r>
        <w:rPr>
          <w:b/>
        </w:rPr>
        <w:t xml:space="preserve">Explanation: </w:t>
      </w:r>
      <w:r>
        <w:t>A free variable is one whose value is not bound within the given scope. A bound variable is one introduced by a binding construct (let, lambda abstraction, etc.).</w:t>
      </w:r>
      <w:r>
        <w:rPr>
          <w:i/>
        </w:rPr>
        <w:t xml:space="preserve"> (Hindley &amp; Seldin, 2008)</w:t>
      </w:r>
    </w:p>
    <w:p>
      <w:r>
        <w:t xml:space="preserve">In the expression </w:t>
      </w:r>
      <w:r>
        <w:rPr>
          <w:i/>
        </w:rPr>
        <w:t>"Let y: int ← 4 in x + y"</w:t>
      </w:r>
      <w:r>
        <w:t>:</w:t>
      </w:r>
    </w:p>
    <w:p>
      <w:r>
        <w:t xml:space="preserve">  •  </w:t>
      </w:r>
      <w:r>
        <w:t>y is bound by the let binding (y ← 4), so y is NOT free at its occurrence.</w:t>
      </w:r>
    </w:p>
    <w:p>
      <w:r>
        <w:t xml:space="preserve">  •  </w:t>
      </w:r>
      <w:r>
        <w:t>x is not bound anywhere in the expression, so x IS free.</w:t>
      </w:r>
    </w:p>
    <w:p>
      <w:r>
        <w:t xml:space="preserve">Therefore, the occurrence of </w:t>
      </w:r>
      <w:r>
        <w:rPr>
          <w:b/>
        </w:rPr>
        <w:t>y</w:t>
      </w:r>
      <w:r>
        <w:t xml:space="preserve"> is not a free variable (it is a bound variable occurrence). This makes option (c) correct.</w:t>
      </w:r>
      <w:r>
        <w:rPr>
          <w:i/>
        </w:rPr>
        <w:t xml:space="preserve"> (Hindley &amp; Seldin, 2008)</w:t>
      </w:r>
    </w:p>
    <w:p>
      <w:r>
        <w:rPr>
          <w:b/>
        </w:rPr>
        <w:t>For reference:</w:t>
      </w:r>
    </w:p>
    <w:p>
      <w:r>
        <w:t xml:space="preserve">  •  </w:t>
      </w:r>
      <w:r>
        <w:t>Option (a) "x" alone — x is free (no binding).</w:t>
      </w:r>
    </w:p>
    <w:p>
      <w:r>
        <w:t xml:space="preserve">  •  </w:t>
      </w:r>
      <w:r>
        <w:t>Option (b) "x + y" — x is free, y is bound; the set of free vars is {x}.</w:t>
      </w:r>
    </w:p>
    <w:p>
      <w:r>
        <w:t xml:space="preserve">  •  </w:t>
      </w:r>
      <w:r>
        <w:t>Option (d) "The occurrence of x" — x is free.</w:t>
      </w:r>
    </w:p>
    <w:p>
      <w:pPr>
        <w:spacing w:before="40" w:after="40"/>
      </w:pPr>
      <w:r>
        <w:rPr>
          <w:color w:val="0563C1"/>
          <w:sz w:val="18"/>
        </w:rPr>
        <w:t xml:space="preserve">  </w:t>
      </w:r>
      <w:hyperlink r:id="rId12">
        <w:r>
          <w:rPr>
            <w:color w:val="0563C1"/>
            <w:u w:val="single"/>
          </w:rPr>
          <w:t>📖 Hindley &amp; Seldin — Lambda-Calculus and Solutions — Cambridge UP, DOI: 10.1017/cbo9780511809835</w:t>
        </w:r>
      </w:hyperlink>
    </w:p>
    <w:p>
      <w:pPr>
        <w:pStyle w:val="Heading2"/>
      </w:pPr>
      <w:r>
        <w:t>Question 4 — Recognizing Viable Prefixes  (10 pts)</w:t>
      </w:r>
    </w:p>
    <w:p>
      <w:r>
        <w:rPr>
          <w:b/>
        </w:rPr>
        <w:t xml:space="preserve">Question: </w:t>
      </w:r>
      <w:r>
        <w:t>As shown in "Recognizing Viable Prefixes," given the grammar and the incomplete NFA:</w:t>
      </w:r>
    </w:p>
    <w:p>
      <w:pPr>
        <w:pStyle w:val="Heading3"/>
      </w:pPr>
      <w:r>
        <w:t>Grammar:</w:t>
      </w:r>
    </w:p>
    <w:p>
      <w:pPr>
        <w:pStyle w:val="ListBullet"/>
      </w:pPr>
      <w:r>
        <w:t>S' → E</w:t>
      </w:r>
    </w:p>
    <w:p>
      <w:pPr>
        <w:pStyle w:val="ListBullet"/>
      </w:pPr>
      <w:r>
        <w:t>E → T + E | T</w:t>
      </w:r>
    </w:p>
    <w:p>
      <w:pPr>
        <w:pStyle w:val="ListBullet"/>
      </w:pPr>
      <w:r>
        <w:t>T → int * T | int | (E)</w:t>
      </w:r>
    </w:p>
    <w:p>
      <w:pPr>
        <w:pStyle w:val="Heading3"/>
      </w:pPr>
      <w:r>
        <w:t>NFA (Recognizing Viable Prefixes):</w:t>
      </w:r>
    </w:p>
    <w:p>
      <w:r>
        <w:rPr>
          <w:b/>
        </w:rPr>
        <w:t xml:space="preserve">Correct Answer: </w:t>
      </w:r>
      <w:r>
        <w:t>The viable prefix property: A viable prefix is a prefix of a right-sentential form that does not continue past the right end of the rightmost handle of that sentential form.</w:t>
      </w:r>
      <w:r>
        <w:rPr>
          <w:i/>
        </w:rPr>
        <w:t xml:space="preserve"> (Aho et al., 2007)</w:t>
      </w:r>
    </w:p>
    <w:p>
      <w:r>
        <w:t>In LR(1) parsing, viable prefixes are recognized by a DFA constructed from an NFA. The NFA states correspond to LR(0) items (grammar productions with a "dot" marking how much has been parsed). Key closure and goto operations build the state machine.</w:t>
      </w:r>
      <w:r>
        <w:rPr>
          <w:i/>
        </w:rPr>
        <w:t xml:space="preserve"> (Aho et al., 2007; Pennello, 1986)</w:t>
      </w:r>
    </w:p>
    <w:p>
      <w:pPr>
        <w:pStyle w:val="Heading3"/>
      </w:pPr>
      <w:r>
        <w:t>Key Concepts:</w:t>
      </w:r>
    </w:p>
    <w:p>
      <w:pPr>
        <w:pStyle w:val="ListBullet"/>
      </w:pPr>
      <w:r>
        <w:rPr>
          <w:b/>
        </w:rPr>
        <w:t xml:space="preserve">CLOSURE: </w:t>
      </w:r>
      <w:r>
        <w:t>If item A → α·Bβ is in a state, add B → ·γ for every production B → γ.</w:t>
      </w:r>
    </w:p>
    <w:p>
      <w:pPr>
        <w:pStyle w:val="ListBullet"/>
      </w:pPr>
      <w:r>
        <w:rPr>
          <w:b/>
        </w:rPr>
        <w:t xml:space="preserve">GOTO: </w:t>
      </w:r>
      <w:r>
        <w:t>Transition on symbol X moves the dot past X: A → α·Xβ becomes A → αX·β.</w:t>
      </w:r>
    </w:p>
    <w:p>
      <w:pPr>
        <w:pStyle w:val="ListBullet"/>
      </w:pPr>
      <w:r>
        <w:rPr>
          <w:b w:val="0"/>
        </w:rPr>
        <w:t>The initial state contains S' → ·E and all items reachable via closure on E.</w:t>
      </w:r>
      <w:r/>
    </w:p>
    <w:p>
      <w:pPr>
        <w:pStyle w:val="ListBullet"/>
      </w:pPr>
      <w:r>
        <w:rPr>
          <w:b w:val="0"/>
        </w:rPr>
        <w:t>From the start state, reading E leads to S' → E· (accepting state — input is valid).</w:t>
      </w:r>
      <w:r/>
    </w:p>
    <w:p>
      <w:pPr>
        <w:pStyle w:val="ListBullet"/>
      </w:pPr>
      <w:r>
        <w:rPr>
          <w:b w:val="0"/>
        </w:rPr>
        <w:t>Reading T from the closure leads to E → T· (shift-reduce: reduce by E → T).</w:t>
      </w:r>
      <w:r/>
    </w:p>
    <w:p>
      <w:pPr>
        <w:pStyle w:val="ListBullet"/>
      </w:pPr>
      <w:r>
        <w:rPr>
          <w:b w:val="0"/>
        </w:rPr>
        <w:t>Reading int leads to T → int· (shift-reduce: reduce by T → int).</w:t>
      </w:r>
      <w:r/>
    </w:p>
    <w:p>
      <w:pPr>
        <w:pStyle w:val="ListBullet"/>
      </w:pPr>
      <w:r>
        <w:rPr>
          <w:b w:val="0"/>
        </w:rPr>
        <w:t>Reading "(" leads to T → (·E), requiring recursive parsing of E inside parens.</w:t>
      </w:r>
      <w:r/>
    </w:p>
    <w:p>
      <w:r>
        <w:rPr>
          <w:b/>
        </w:rPr>
        <w:t xml:space="preserve">Note: </w:t>
      </w:r>
      <w:r>
        <w:t>The exact answer depends on what the question asks (which item is missing, which transition is incorrect, etc.). The NFA captures the standard viable-prefix recognizer for this grammar. In LR parsing, every state represents a set of items corresponding to a viable prefix, and the parser uses goto transitions to move between states.</w:t>
      </w:r>
      <w:r>
        <w:rPr>
          <w:i/>
        </w:rPr>
        <w:t xml:space="preserve"> (Aho et al., 2007; Aycock &amp; Horspool, 1999)</w:t>
      </w:r>
    </w:p>
    <w:p>
      <w:pPr>
        <w:spacing w:before="40" w:after="40"/>
      </w:pPr>
      <w:r>
        <w:rPr>
          <w:color w:val="0563C1"/>
          <w:sz w:val="18"/>
        </w:rPr>
        <w:t xml:space="preserve">  </w:t>
      </w:r>
      <w:hyperlink r:id="rId13">
        <w:r>
          <w:rPr>
            <w:color w:val="0563C1"/>
            <w:u w:val="single"/>
          </w:rPr>
          <w:t>📖 Pennello (1986) — Very fast LR parsing — SIGPLAN CC, DOI: 10.1145/12276.13326</w:t>
        </w:r>
      </w:hyperlink>
    </w:p>
    <w:p>
      <w:pPr>
        <w:spacing w:before="40" w:after="40"/>
      </w:pPr>
      <w:r>
        <w:rPr>
          <w:color w:val="0563C1"/>
          <w:sz w:val="18"/>
        </w:rPr>
        <w:t xml:space="preserve">  </w:t>
      </w:r>
      <w:hyperlink r:id="rId14">
        <w:r>
          <w:rPr>
            <w:color w:val="0563C1"/>
            <w:u w:val="single"/>
          </w:rPr>
          <w:t>📖 Aycock &amp; Horspool (1999) — Faster Generalized LR Parsing — Springer, DOI: 10.1007/978-3-540-49051-7_3</w:t>
        </w:r>
      </w:hyperlink>
    </w:p>
    <w:p>
      <w:r>
        <w:br w:type="page"/>
      </w:r>
    </w:p>
    <w:p>
      <w:pPr>
        <w:pStyle w:val="Heading1"/>
      </w:pPr>
      <w:r>
        <w:t>References</w:t>
      </w:r>
    </w:p>
    <w:p>
      <w:pPr>
        <w:spacing w:after="120"/>
        <w:ind w:left="720" w:hanging="720"/>
      </w:pPr>
      <w:r>
        <w:rPr>
          <w:sz w:val="20"/>
        </w:rPr>
        <w:t xml:space="preserve">Aho, A. V., Lam, M. S., Sethi, R., &amp; Ullman, J. D. (2007). </w:t>
      </w:r>
      <w:r>
        <w:rPr>
          <w:i/>
          <w:sz w:val="20"/>
        </w:rPr>
        <w:t>Compilers: Principles, techniques, and tools</w:t>
      </w:r>
      <w:r>
        <w:rPr>
          <w:sz w:val="20"/>
        </w:rPr>
        <w:t xml:space="preserve"> (2nd ed.). Boston, MA: Addison-Wesley.</w:t>
      </w:r>
    </w:p>
    <w:p>
      <w:pPr>
        <w:spacing w:after="40" w:before="0"/>
        <w:ind w:left="1440"/>
      </w:pPr>
      <w:hyperlink r:id="rId9">
        <w:r>
          <w:rPr>
            <w:color w:val="0563C1"/>
            <w:u w:val="single"/>
          </w:rPr>
          <w:t>https://www.amazon.com/dp/0321486811</w:t>
        </w:r>
      </w:hyperlink>
    </w:p>
    <w:p>
      <w:pPr>
        <w:spacing w:after="120"/>
        <w:ind w:left="720" w:hanging="720"/>
      </w:pPr>
      <w:r>
        <w:rPr>
          <w:sz w:val="20"/>
        </w:rPr>
        <w:t xml:space="preserve">Aycock, J., &amp; Horspool, R. N. (1999). </w:t>
      </w:r>
      <w:r>
        <w:rPr>
          <w:i/>
          <w:sz w:val="20"/>
        </w:rPr>
        <w:t>Faster generalized LR parsing</w:t>
      </w:r>
      <w:r>
        <w:rPr>
          <w:sz w:val="20"/>
        </w:rPr>
        <w:t xml:space="preserve">. In Lecture Notes in Computer Science (Vol. 1655, pp. 25–40). Berlin: Springer. </w:t>
      </w:r>
    </w:p>
    <w:p>
      <w:pPr>
        <w:spacing w:after="40" w:before="0"/>
        <w:ind w:left="1440"/>
      </w:pPr>
      <w:hyperlink r:id="rId14">
        <w:r>
          <w:rPr>
            <w:color w:val="0563C1"/>
            <w:u w:val="single"/>
          </w:rPr>
          <w:t>https://doi.org/10.1007/978-3-540-49051-7_3</w:t>
        </w:r>
      </w:hyperlink>
    </w:p>
    <w:p>
      <w:pPr>
        <w:spacing w:after="120"/>
        <w:ind w:left="720" w:hanging="720"/>
      </w:pPr>
      <w:r>
        <w:rPr>
          <w:sz w:val="20"/>
        </w:rPr>
        <w:t xml:space="preserve">Hindley, J. R., &amp; Seldin, J. P. (2008). </w:t>
      </w:r>
      <w:r>
        <w:rPr>
          <w:i/>
          <w:sz w:val="20"/>
        </w:rPr>
        <w:t>Lambda-calculus and solutions</w:t>
      </w:r>
      <w:r>
        <w:rPr>
          <w:sz w:val="20"/>
        </w:rPr>
        <w:t xml:space="preserve"> (2nd ed.). New York, NY: Dover Publications. (Original work published 1986, Cambridge University Press).</w:t>
      </w:r>
    </w:p>
    <w:p>
      <w:pPr>
        <w:spacing w:after="40" w:before="0"/>
        <w:ind w:left="1440"/>
      </w:pPr>
      <w:hyperlink r:id="rId12">
        <w:r>
          <w:rPr>
            <w:color w:val="0563C1"/>
            <w:u w:val="single"/>
          </w:rPr>
          <w:t>https://doi.org/10.1017/cbo9780511809835</w:t>
        </w:r>
      </w:hyperlink>
    </w:p>
    <w:p>
      <w:pPr>
        <w:spacing w:after="120"/>
        <w:ind w:left="720" w:hanging="720"/>
      </w:pPr>
      <w:r>
        <w:rPr>
          <w:sz w:val="20"/>
        </w:rPr>
        <w:t xml:space="preserve">Johnson, R. E. (1986). </w:t>
      </w:r>
      <w:r>
        <w:rPr>
          <w:i/>
          <w:sz w:val="20"/>
        </w:rPr>
        <w:t>Type-checking Smalltalk</w:t>
      </w:r>
      <w:r>
        <w:rPr>
          <w:sz w:val="20"/>
        </w:rPr>
        <w:t xml:space="preserve">. In Proceedings of the Conference on Object-Oriented Programming Systems, Languages, and Applications (pp. 61–74). New York, NY: ACM. </w:t>
      </w:r>
    </w:p>
    <w:p>
      <w:pPr>
        <w:spacing w:after="40" w:before="0"/>
        <w:ind w:left="1440"/>
      </w:pPr>
      <w:hyperlink r:id="rId10">
        <w:r>
          <w:rPr>
            <w:color w:val="0563C1"/>
            <w:u w:val="single"/>
          </w:rPr>
          <w:t>https://doi.org/10.1145/28697.28728</w:t>
        </w:r>
      </w:hyperlink>
    </w:p>
    <w:p>
      <w:pPr>
        <w:spacing w:after="120"/>
        <w:ind w:left="720" w:hanging="720"/>
      </w:pPr>
      <w:r>
        <w:rPr>
          <w:sz w:val="20"/>
        </w:rPr>
        <w:t xml:space="preserve">Pennello, T. J. (1986). </w:t>
      </w:r>
      <w:r>
        <w:rPr>
          <w:i/>
          <w:sz w:val="20"/>
        </w:rPr>
        <w:t>Very fast LR parsing</w:t>
      </w:r>
      <w:r>
        <w:rPr>
          <w:sz w:val="20"/>
        </w:rPr>
        <w:t xml:space="preserve">. In Proceedings of the 1986 SIGPLAN Symposium on Compiler Construction (pp. 195–206). New York, NY: ACM. </w:t>
      </w:r>
    </w:p>
    <w:p>
      <w:pPr>
        <w:spacing w:after="40" w:before="0"/>
        <w:ind w:left="1440"/>
      </w:pPr>
      <w:hyperlink r:id="rId13">
        <w:r>
          <w:rPr>
            <w:color w:val="0563C1"/>
            <w:u w:val="single"/>
          </w:rPr>
          <w:t>https://doi.org/10.1145/12276.13326</w:t>
        </w:r>
      </w:hyperlink>
    </w:p>
    <w:p>
      <w:pPr>
        <w:spacing w:after="120"/>
        <w:ind w:left="720" w:hanging="720"/>
      </w:pPr>
      <w:r>
        <w:rPr>
          <w:sz w:val="20"/>
        </w:rPr>
        <w:t xml:space="preserve">Pierce, B. C. (2002). </w:t>
      </w:r>
      <w:r>
        <w:rPr>
          <w:i/>
          <w:sz w:val="20"/>
        </w:rPr>
        <w:t>Types and programming languages</w:t>
      </w:r>
      <w:r>
        <w:rPr>
          <w:sz w:val="20"/>
        </w:rPr>
        <w:t>. Cambridge, MA: MIT Press.</w:t>
      </w:r>
    </w:p>
    <w:p>
      <w:pPr>
        <w:spacing w:after="40" w:before="0"/>
        <w:ind w:left="1440"/>
      </w:pPr>
      <w:hyperlink r:id="rId11">
        <w:r>
          <w:rPr>
            <w:color w:val="0563C1"/>
            <w:u w:val="single"/>
          </w:rPr>
          <w:t>https://www.cis.upenn.edu/~bcpierce/tapl/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mazon.com/dp/0321486811" TargetMode="External"/><Relationship Id="rId10" Type="http://schemas.openxmlformats.org/officeDocument/2006/relationships/hyperlink" Target="https://doi.org/10.1145/28697.28728" TargetMode="External"/><Relationship Id="rId11" Type="http://schemas.openxmlformats.org/officeDocument/2006/relationships/hyperlink" Target="https://www.cis.upenn.edu/~bcpierce/tapl/" TargetMode="External"/><Relationship Id="rId12" Type="http://schemas.openxmlformats.org/officeDocument/2006/relationships/hyperlink" Target="https://doi.org/10.1017/cbo9780511809835" TargetMode="External"/><Relationship Id="rId13" Type="http://schemas.openxmlformats.org/officeDocument/2006/relationships/hyperlink" Target="https://doi.org/10.1145/12276.13326" TargetMode="External"/><Relationship Id="rId14" Type="http://schemas.openxmlformats.org/officeDocument/2006/relationships/hyperlink" Target="https://doi.org/10.1007/978-3-540-49051-7_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