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No. 4</w:t>
      </w:r>
    </w:p>
    <w:p>
      <w:r>
        <w:t>This SOW is governed by the Master Services Agreement between Customer Inc. (the “Customer”) and Vendor LLC (the “Vendor”).</w:t>
      </w:r>
    </w:p>
    <w:p>
      <w:pPr>
        <w:pStyle w:val="Heading1"/>
      </w:pPr>
      <w:r>
        <w:t>Scope</w:t>
      </w:r>
    </w:p>
    <w:p>
      <w:pPr>
        <w:pStyle w:val="ListBullet"/>
      </w:pPr>
      <w:r>
        <w:t>Discovery workshops</w:t>
      </w:r>
    </w:p>
    <w:p>
      <w:pPr>
        <w:pStyle w:val="ListBullet"/>
      </w:pPr>
      <w:r>
        <w:t>Implementation of the platform</w:t>
      </w:r>
    </w:p>
    <w:p>
      <w:pPr>
        <w:pStyle w:val="ListBullet"/>
      </w:pPr>
      <w:r>
        <w:t>All services necessary to achieve go-live</w:t>
      </w:r>
    </w:p>
    <w:p>
      <w:pPr>
        <w:pStyle w:val="Heading1"/>
      </w:pPr>
      <w:r>
        <w:t>Fees</w:t>
      </w:r>
    </w:p>
    <w:p>
      <w:r>
        <w:t xml:space="preserve">Invoices are payable </w:t>
      </w:r>
      <w:r>
        <w:rPr>
          <w:b/>
        </w:rPr>
        <w:t>net ninety (90) days</w:t>
      </w:r>
      <w:r>
        <w:t xml:space="preserve"> from receipt.</w:t>
        <w:tab/>
        <w:t>Customer may withhold payment pending acceptance.</w:t>
      </w:r>
    </w:p>
    <w:p>
      <w:r>
        <w:rPr>
          <w:sz w:val="18"/>
        </w:rPr>
        <w:t>Vendor shall maintain insurance coverage of $10,000,000 per occurrence.</w:t>
      </w:r>
    </w:p>
    <w:p>
      <w:pPr>
        <w:pStyle w:val="Heading1"/>
      </w:pPr>
      <w:r>
        <w:t>Acceptance</w:t>
      </w:r>
    </w:p>
    <w:p>
      <w:r>
        <w:t>Deliverables are accepted when Customer, in its sole discretion, is satisfied, and Customer may request changes at any time without additional charge.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Milestone</w:t>
            </w:r>
          </w:p>
        </w:tc>
        <w:tc>
          <w:tcPr>
            <w:tcW w:type="dxa" w:w="4080"/>
          </w:tcPr>
          <w:p>
            <w:r>
              <w:t>Date</w:t>
            </w:r>
          </w:p>
        </w:tc>
        <w:tc>
          <w:tcPr>
            <w:tcW w:type="dxa" w:w="4080"/>
          </w:tcPr>
          <w:p>
            <w:r>
              <w:t>Fee</w:t>
            </w:r>
          </w:p>
        </w:tc>
      </w:tr>
      <w:tr>
        <w:tc>
          <w:tcPr>
            <w:tcW w:type="dxa" w:w="4080"/>
          </w:tcPr>
          <w:p>
            <w:r>
              <w:t>Go-live</w:t>
            </w:r>
          </w:p>
        </w:tc>
        <w:tc>
          <w:tcPr>
            <w:tcW w:type="dxa" w:w="4080"/>
          </w:tcPr>
          <w:p>
            <w:r>
              <w:t>2027-01-15</w:t>
            </w:r>
          </w:p>
        </w:tc>
        <w:tc>
          <w:tcPr>
            <w:tcW w:type="dxa" w:w="4080"/>
          </w:tcPr>
          <w:p>
            <w:r>
              <w:t>$120,000</w:t>
            </w:r>
          </w:p>
        </w:tc>
      </w:tr>
    </w:tbl>
    <w:p/>
    <w:p>
      <w:r>
        <w:t>Customer may audit all books and records of Vendor at any time.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