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Salas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2535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de análisis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reflexiva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Habilidades de liderazgo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Tolerancia a la frustración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Conocimiento Cloud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Riesgo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2vtYLx8kPUYwqjqY+nOiPgDVQ==">CgMxLjAyCGguZ2pkZ3hzMgloLjMwajB6bGw4AHIhMWZ1anhpeHBlUS1qc3RLU0ttV19qVlFHcEwyTXRXR0dS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