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96F96" w14:textId="7F9D4ABC" w:rsidR="007F62CF" w:rsidRDefault="007F62CF" w:rsidP="009C1620">
      <w:pPr>
        <w:rPr>
          <w:rFonts w:ascii="Arial" w:hAnsi="Arial" w:cs="Arial"/>
          <w:b/>
          <w:bCs/>
          <w:sz w:val="24"/>
          <w:szCs w:val="24"/>
        </w:rPr>
      </w:pPr>
      <w:r w:rsidRPr="007F62CF">
        <w:rPr>
          <w:rFonts w:ascii="Arial" w:hAnsi="Arial" w:cs="Arial"/>
          <w:b/>
          <w:bCs/>
          <w:sz w:val="24"/>
          <w:szCs w:val="24"/>
        </w:rPr>
        <w:t xml:space="preserve">Informe: Análisis de la Distribución y Determinantes de los </w:t>
      </w:r>
      <w:r>
        <w:rPr>
          <w:rFonts w:ascii="Arial" w:hAnsi="Arial" w:cs="Arial"/>
          <w:b/>
          <w:bCs/>
          <w:sz w:val="24"/>
          <w:szCs w:val="24"/>
        </w:rPr>
        <w:t>Cobertura de prestadores de salud en Colombia.</w:t>
      </w:r>
    </w:p>
    <w:p w14:paraId="368FDE19" w14:textId="10FCEE25" w:rsidR="00434008" w:rsidRDefault="00BA656A" w:rsidP="009C1620">
      <w:pPr>
        <w:rPr>
          <w:rFonts w:ascii="Arial" w:hAnsi="Arial" w:cs="Arial"/>
          <w:b/>
          <w:bCs/>
          <w:sz w:val="24"/>
          <w:szCs w:val="24"/>
        </w:rPr>
      </w:pPr>
      <w:r>
        <w:rPr>
          <w:rFonts w:ascii="Arial" w:hAnsi="Arial" w:cs="Arial"/>
          <w:b/>
          <w:bCs/>
          <w:sz w:val="24"/>
          <w:szCs w:val="24"/>
        </w:rPr>
        <w:t>Elaborado por: Brandon Fino Ayala</w:t>
      </w:r>
      <w:r w:rsidR="007F62CF">
        <w:rPr>
          <w:rFonts w:ascii="Arial" w:hAnsi="Arial" w:cs="Arial"/>
          <w:b/>
          <w:bCs/>
          <w:sz w:val="24"/>
          <w:szCs w:val="24"/>
        </w:rPr>
        <w:t>, economista.</w:t>
      </w:r>
    </w:p>
    <w:p w14:paraId="19E9A82C" w14:textId="77777777" w:rsidR="00434008" w:rsidRPr="00434008" w:rsidRDefault="00434008" w:rsidP="00434008">
      <w:pPr>
        <w:rPr>
          <w:rFonts w:ascii="Arial" w:hAnsi="Arial" w:cs="Arial"/>
          <w:b/>
          <w:bCs/>
          <w:sz w:val="24"/>
          <w:szCs w:val="24"/>
        </w:rPr>
      </w:pPr>
      <w:r w:rsidRPr="00434008">
        <w:rPr>
          <w:rFonts w:ascii="Arial" w:hAnsi="Arial" w:cs="Arial"/>
          <w:b/>
          <w:bCs/>
          <w:sz w:val="24"/>
          <w:szCs w:val="24"/>
        </w:rPr>
        <w:t>Introducción y Planteamiento del Problema</w:t>
      </w:r>
    </w:p>
    <w:p w14:paraId="0018C389" w14:textId="281C366E" w:rsidR="00434008" w:rsidRDefault="00434008" w:rsidP="00434008">
      <w:pPr>
        <w:rPr>
          <w:rFonts w:ascii="Arial" w:hAnsi="Arial" w:cs="Arial"/>
          <w:sz w:val="24"/>
          <w:szCs w:val="24"/>
        </w:rPr>
      </w:pPr>
      <w:r w:rsidRPr="00434008">
        <w:rPr>
          <w:rFonts w:ascii="Arial" w:hAnsi="Arial" w:cs="Arial"/>
          <w:sz w:val="24"/>
          <w:szCs w:val="24"/>
        </w:rPr>
        <w:t>El acceso equitativo a servicios de salud es fundamental para garantizar el bienestar de la población. En Colombia, la distribución de prestadores y sedes de salud presenta disparidades significativas entre regiones y municipios. Este informe analiza la densidad de prestadores por cada 100,000 habitantes, identifica las regiones con mayor concentración de sedes y evalúa cómo diversas modalidades de atención se distribuyen regionalmente. Además, se presenta un modelo estadístico que estima los factores asociados a la disponibilidad de servicios de salud, proporcionando una visión integral de la situación actual</w:t>
      </w:r>
    </w:p>
    <w:p w14:paraId="64134376" w14:textId="7B2EBFD2" w:rsidR="00A20839" w:rsidRDefault="00A20839" w:rsidP="00A20839">
      <w:pPr>
        <w:spacing w:after="0"/>
        <w:rPr>
          <w:rFonts w:ascii="Arial" w:hAnsi="Arial" w:cs="Arial"/>
          <w:b/>
          <w:bCs/>
          <w:color w:val="4472C4" w:themeColor="accent1"/>
          <w:sz w:val="18"/>
          <w:szCs w:val="18"/>
        </w:rPr>
      </w:pPr>
      <w:r w:rsidRPr="00434008">
        <w:rPr>
          <w:rFonts w:ascii="Arial" w:hAnsi="Arial" w:cs="Arial"/>
          <w:b/>
          <w:bCs/>
          <w:color w:val="4472C4" w:themeColor="accent1"/>
          <w:sz w:val="18"/>
          <w:szCs w:val="18"/>
        </w:rPr>
        <w:t xml:space="preserve">Visualización 1: Mapa de </w:t>
      </w:r>
      <w:r>
        <w:rPr>
          <w:rFonts w:ascii="Arial" w:hAnsi="Arial" w:cs="Arial"/>
          <w:b/>
          <w:bCs/>
          <w:color w:val="4472C4" w:themeColor="accent1"/>
          <w:sz w:val="18"/>
          <w:szCs w:val="18"/>
        </w:rPr>
        <w:t>Calor de</w:t>
      </w:r>
    </w:p>
    <w:p w14:paraId="52100266" w14:textId="77777777" w:rsidR="00A20839" w:rsidRDefault="00A20839" w:rsidP="00A20839">
      <w:pPr>
        <w:spacing w:after="0"/>
        <w:rPr>
          <w:rFonts w:ascii="Arial" w:hAnsi="Arial" w:cs="Arial"/>
          <w:b/>
          <w:bCs/>
          <w:color w:val="4472C4" w:themeColor="accent1"/>
          <w:sz w:val="18"/>
          <w:szCs w:val="18"/>
        </w:rPr>
      </w:pPr>
      <w:r w:rsidRPr="00434008">
        <w:rPr>
          <w:rFonts w:ascii="Arial" w:hAnsi="Arial" w:cs="Arial"/>
          <w:b/>
          <w:bCs/>
          <w:color w:val="4472C4" w:themeColor="accent1"/>
          <w:sz w:val="18"/>
          <w:szCs w:val="18"/>
        </w:rPr>
        <w:t>Prestadores de Salud por 100,000 Habitantes (Nivel Municipal)</w:t>
      </w:r>
    </w:p>
    <w:p w14:paraId="4B38D88C" w14:textId="77777777" w:rsidR="00A20839" w:rsidRPr="007F62CF" w:rsidRDefault="00A20839" w:rsidP="00A20839">
      <w:pPr>
        <w:spacing w:after="0"/>
        <w:rPr>
          <w:rFonts w:ascii="Arial" w:hAnsi="Arial" w:cs="Arial"/>
          <w:b/>
          <w:bCs/>
          <w:color w:val="4472C4" w:themeColor="accent1"/>
          <w:sz w:val="18"/>
          <w:szCs w:val="18"/>
        </w:rPr>
      </w:pPr>
      <w:r>
        <w:rPr>
          <w:rFonts w:ascii="Arial" w:hAnsi="Arial" w:cs="Arial"/>
          <w:b/>
          <w:bCs/>
          <w:color w:val="4472C4" w:themeColor="accent1"/>
          <w:sz w:val="18"/>
          <w:szCs w:val="18"/>
        </w:rPr>
        <w:t>Fuente: REPS (2025)</w:t>
      </w:r>
    </w:p>
    <w:p w14:paraId="4A5C0E1C" w14:textId="45AC02F0" w:rsidR="00434008" w:rsidRDefault="007F62CF" w:rsidP="00434008">
      <w:pPr>
        <w:rPr>
          <w:rFonts w:ascii="Arial" w:hAnsi="Arial" w:cs="Arial"/>
          <w:sz w:val="24"/>
          <w:szCs w:val="24"/>
        </w:rPr>
      </w:pPr>
      <w:r>
        <w:rPr>
          <w:rFonts w:ascii="Arial" w:hAnsi="Arial" w:cs="Arial"/>
          <w:b/>
          <w:bCs/>
          <w:noProof/>
          <w:sz w:val="24"/>
          <w:szCs w:val="24"/>
        </w:rPr>
        <w:drawing>
          <wp:anchor distT="0" distB="0" distL="114300" distR="114300" simplePos="0" relativeHeight="251660288" behindDoc="0" locked="0" layoutInCell="1" allowOverlap="1" wp14:anchorId="240C1C9F" wp14:editId="1B7F0510">
            <wp:simplePos x="0" y="0"/>
            <wp:positionH relativeFrom="margin">
              <wp:align>left</wp:align>
            </wp:positionH>
            <wp:positionV relativeFrom="paragraph">
              <wp:posOffset>6350</wp:posOffset>
            </wp:positionV>
            <wp:extent cx="3520440" cy="3696970"/>
            <wp:effectExtent l="0" t="0" r="3810" b="0"/>
            <wp:wrapSquare wrapText="bothSides"/>
            <wp:docPr id="1280568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0749" cy="37081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Este mapa </w:t>
      </w:r>
      <w:r w:rsidRPr="00434008">
        <w:rPr>
          <w:rFonts w:ascii="Arial" w:hAnsi="Arial" w:cs="Arial"/>
          <w:sz w:val="24"/>
          <w:szCs w:val="24"/>
        </w:rPr>
        <w:t>ilustra la distribución geográfica de prestadores de salud en Colombia, normalizada por cada 100,000 habitantes a nivel municipal. Se observa una concentración significativa en departamentos como Bogotá D.C., Antioquia y Quindío, mientras que regiones como Guainía y Vaupés presentan una menor densidad de prestadores.</w:t>
      </w:r>
      <w:r>
        <w:rPr>
          <w:rFonts w:ascii="Arial" w:hAnsi="Arial" w:cs="Arial"/>
          <w:sz w:val="24"/>
          <w:szCs w:val="24"/>
        </w:rPr>
        <w:t xml:space="preserve"> </w:t>
      </w:r>
    </w:p>
    <w:p w14:paraId="55FC1D97" w14:textId="77777777" w:rsidR="00EE59B7" w:rsidRDefault="00A20839" w:rsidP="00EE59B7">
      <w:pPr>
        <w:ind w:left="1416"/>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26139F54" wp14:editId="4AB16892">
                <wp:simplePos x="0" y="0"/>
                <wp:positionH relativeFrom="column">
                  <wp:posOffset>205740</wp:posOffset>
                </wp:positionH>
                <wp:positionV relativeFrom="paragraph">
                  <wp:posOffset>2236470</wp:posOffset>
                </wp:positionV>
                <wp:extent cx="3330575" cy="373380"/>
                <wp:effectExtent l="0" t="0" r="3175" b="7620"/>
                <wp:wrapSquare wrapText="bothSides"/>
                <wp:docPr id="1892659343" name="Cuadro de texto 1"/>
                <wp:cNvGraphicFramePr/>
                <a:graphic xmlns:a="http://schemas.openxmlformats.org/drawingml/2006/main">
                  <a:graphicData uri="http://schemas.microsoft.com/office/word/2010/wordprocessingShape">
                    <wps:wsp>
                      <wps:cNvSpPr txBox="1"/>
                      <wps:spPr>
                        <a:xfrm>
                          <a:off x="0" y="0"/>
                          <a:ext cx="3330575" cy="373380"/>
                        </a:xfrm>
                        <a:prstGeom prst="rect">
                          <a:avLst/>
                        </a:prstGeom>
                        <a:solidFill>
                          <a:prstClr val="white"/>
                        </a:solidFill>
                        <a:ln>
                          <a:noFill/>
                        </a:ln>
                      </wps:spPr>
                      <wps:txbx>
                        <w:txbxContent>
                          <w:p w14:paraId="19D99A65" w14:textId="0C9A0B8A" w:rsidR="00A20839" w:rsidRPr="00A20839" w:rsidRDefault="00A20839" w:rsidP="00A20839">
                            <w:pPr>
                              <w:spacing w:after="0"/>
                              <w:rPr>
                                <w:rFonts w:ascii="Arial" w:hAnsi="Arial" w:cs="Arial"/>
                                <w:b/>
                                <w:bCs/>
                                <w:i/>
                                <w:iCs/>
                                <w:color w:val="4472C4" w:themeColor="accent1"/>
                                <w:sz w:val="24"/>
                                <w:szCs w:val="24"/>
                              </w:rPr>
                            </w:pPr>
                            <w:r w:rsidRPr="00A20839">
                              <w:rPr>
                                <w:b/>
                                <w:bCs/>
                                <w:i/>
                                <w:iCs/>
                                <w:color w:val="4472C4" w:themeColor="accent1"/>
                              </w:rPr>
                              <w:t>Vi</w:t>
                            </w:r>
                            <w:r w:rsidRPr="00434008">
                              <w:rPr>
                                <w:rFonts w:ascii="Arial" w:hAnsi="Arial" w:cs="Arial"/>
                                <w:b/>
                                <w:bCs/>
                                <w:i/>
                                <w:iCs/>
                                <w:color w:val="4472C4" w:themeColor="accent1"/>
                                <w:sz w:val="20"/>
                                <w:szCs w:val="20"/>
                              </w:rPr>
                              <w:t xml:space="preserve">sualización 2: Top 5 Departamentos con </w:t>
                            </w:r>
                          </w:p>
                          <w:p w14:paraId="4C04DA73" w14:textId="77777777" w:rsidR="00A20839" w:rsidRPr="00A20839" w:rsidRDefault="00A20839" w:rsidP="00A20839">
                            <w:pPr>
                              <w:spacing w:after="0"/>
                              <w:rPr>
                                <w:rFonts w:ascii="Arial" w:hAnsi="Arial" w:cs="Arial"/>
                                <w:b/>
                                <w:bCs/>
                                <w:i/>
                                <w:iCs/>
                                <w:color w:val="4472C4" w:themeColor="accent1"/>
                                <w:sz w:val="20"/>
                                <w:szCs w:val="20"/>
                              </w:rPr>
                            </w:pPr>
                            <w:r w:rsidRPr="00434008">
                              <w:rPr>
                                <w:rFonts w:ascii="Arial" w:hAnsi="Arial" w:cs="Arial"/>
                                <w:b/>
                                <w:bCs/>
                                <w:i/>
                                <w:iCs/>
                                <w:color w:val="4472C4" w:themeColor="accent1"/>
                                <w:sz w:val="20"/>
                                <w:szCs w:val="20"/>
                              </w:rPr>
                              <w:t>Mayor Densidad de Sedes de Salud</w:t>
                            </w:r>
                          </w:p>
                          <w:p w14:paraId="172590FA" w14:textId="713D4BBC" w:rsidR="00A20839" w:rsidRPr="005C4F2A" w:rsidRDefault="00A20839" w:rsidP="00A20839">
                            <w:pPr>
                              <w:pStyle w:val="Descripcin"/>
                              <w:rPr>
                                <w:rFonts w:ascii="Arial" w:hAnsi="Arial" w:cs="Arial"/>
                                <w:b/>
                                <w:b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139F54" id="_x0000_t202" coordsize="21600,21600" o:spt="202" path="m,l,21600r21600,l21600,xe">
                <v:stroke joinstyle="miter"/>
                <v:path gradientshapeok="t" o:connecttype="rect"/>
              </v:shapetype>
              <v:shape id="Cuadro de texto 1" o:spid="_x0000_s1026" type="#_x0000_t202" style="position:absolute;left:0;text-align:left;margin-left:16.2pt;margin-top:176.1pt;width:262.25pt;height:29.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" stroked="f">
                <v:textbox inset="0,0,0,0">
                  <w:txbxContent>
                    <w:p w14:paraId="19D99A65" w14:textId="0C9A0B8A" w:rsidR="00A20839" w:rsidRPr="00A20839" w:rsidRDefault="00A20839" w:rsidP="00A20839">
                      <w:pPr>
                        <w:spacing w:after="0"/>
                        <w:rPr>
                          <w:rFonts w:ascii="Arial" w:hAnsi="Arial" w:cs="Arial"/>
                          <w:b/>
                          <w:bCs/>
                          <w:i/>
                          <w:iCs/>
                          <w:color w:val="4472C4" w:themeColor="accent1"/>
                          <w:sz w:val="24"/>
                          <w:szCs w:val="24"/>
                        </w:rPr>
                      </w:pPr>
                      <w:r w:rsidRPr="00A20839">
                        <w:rPr>
                          <w:b/>
                          <w:bCs/>
                          <w:i/>
                          <w:iCs/>
                          <w:color w:val="4472C4" w:themeColor="accent1"/>
                        </w:rPr>
                        <w:t>Vi</w:t>
                      </w:r>
                      <w:r w:rsidRPr="00434008">
                        <w:rPr>
                          <w:rFonts w:ascii="Arial" w:hAnsi="Arial" w:cs="Arial"/>
                          <w:b/>
                          <w:bCs/>
                          <w:i/>
                          <w:iCs/>
                          <w:color w:val="4472C4" w:themeColor="accent1"/>
                          <w:sz w:val="20"/>
                          <w:szCs w:val="20"/>
                        </w:rPr>
                        <w:t xml:space="preserve">sualización 2: Top 5 Departamentos con </w:t>
                      </w:r>
                    </w:p>
                    <w:p w14:paraId="4C04DA73" w14:textId="77777777" w:rsidR="00A20839" w:rsidRPr="00A20839" w:rsidRDefault="00A20839" w:rsidP="00A20839">
                      <w:pPr>
                        <w:spacing w:after="0"/>
                        <w:rPr>
                          <w:rFonts w:ascii="Arial" w:hAnsi="Arial" w:cs="Arial"/>
                          <w:b/>
                          <w:bCs/>
                          <w:i/>
                          <w:iCs/>
                          <w:color w:val="4472C4" w:themeColor="accent1"/>
                          <w:sz w:val="20"/>
                          <w:szCs w:val="20"/>
                        </w:rPr>
                      </w:pPr>
                      <w:r w:rsidRPr="00434008">
                        <w:rPr>
                          <w:rFonts w:ascii="Arial" w:hAnsi="Arial" w:cs="Arial"/>
                          <w:b/>
                          <w:bCs/>
                          <w:i/>
                          <w:iCs/>
                          <w:color w:val="4472C4" w:themeColor="accent1"/>
                          <w:sz w:val="20"/>
                          <w:szCs w:val="20"/>
                        </w:rPr>
                        <w:t>Mayor Densidad de Sedes de Salud</w:t>
                      </w:r>
                    </w:p>
                    <w:p w14:paraId="172590FA" w14:textId="713D4BBC" w:rsidR="00A20839" w:rsidRPr="005C4F2A" w:rsidRDefault="00A20839" w:rsidP="00A20839">
                      <w:pPr>
                        <w:pStyle w:val="Descripcin"/>
                        <w:rPr>
                          <w:rFonts w:ascii="Arial" w:hAnsi="Arial" w:cs="Arial"/>
                          <w:b/>
                          <w:bCs/>
                        </w:rPr>
                      </w:pPr>
                    </w:p>
                  </w:txbxContent>
                </v:textbox>
                <w10:wrap type="square"/>
              </v:shape>
            </w:pict>
          </mc:Fallback>
        </mc:AlternateContent>
      </w:r>
      <w:r>
        <w:rPr>
          <w:rFonts w:ascii="Arial" w:hAnsi="Arial" w:cs="Arial"/>
          <w:sz w:val="24"/>
          <w:szCs w:val="24"/>
        </w:rPr>
        <w:t>En la figura 2, se</w:t>
      </w:r>
      <w:r w:rsidRPr="00434008">
        <w:rPr>
          <w:rFonts w:ascii="Arial" w:hAnsi="Arial" w:cs="Arial"/>
          <w:sz w:val="24"/>
          <w:szCs w:val="24"/>
        </w:rPr>
        <w:t xml:space="preserve"> destaca los cinco departamentos con la mayor densidad de sedes de salud por kilómetro cuadrado. Bogotá D.C. lidera con una densidad notable, seguida por Antioquia, Valle del Cauca, Atlántico y Santander. Esta concentración refleja una correlación con áreas de alta densidad poblacional y desarrollo urbano</w:t>
      </w:r>
      <w:r>
        <w:rPr>
          <w:rFonts w:ascii="Arial" w:hAnsi="Arial" w:cs="Arial"/>
          <w:sz w:val="24"/>
          <w:szCs w:val="24"/>
        </w:rPr>
        <w:t>.</w:t>
      </w:r>
      <w:r w:rsidR="00EE59B7">
        <w:rPr>
          <w:rFonts w:ascii="Arial" w:hAnsi="Arial" w:cs="Arial"/>
          <w:sz w:val="24"/>
          <w:szCs w:val="24"/>
        </w:rPr>
        <w:t xml:space="preserve"> </w:t>
      </w:r>
      <w:r w:rsidR="00EE59B7">
        <w:rPr>
          <w:rFonts w:ascii="Arial" w:hAnsi="Arial" w:cs="Arial"/>
          <w:sz w:val="24"/>
          <w:szCs w:val="24"/>
        </w:rPr>
        <w:t>Debido principalmente a que son mercados más desarrollados con mayor oferta de servicios públicos, presencia de instituciones públicas y empresas.</w:t>
      </w:r>
      <w:r w:rsidR="00EE59B7">
        <w:rPr>
          <w:rFonts w:ascii="Arial" w:hAnsi="Arial" w:cs="Arial"/>
          <w:sz w:val="24"/>
          <w:szCs w:val="24"/>
        </w:rPr>
        <w:t xml:space="preserve"> </w:t>
      </w:r>
    </w:p>
    <w:p w14:paraId="71E8955D" w14:textId="29B09821" w:rsidR="00EE59B7" w:rsidRDefault="00EE59B7" w:rsidP="00EE59B7">
      <w:pPr>
        <w:ind w:left="1416"/>
        <w:rPr>
          <w:rFonts w:ascii="Arial" w:hAnsi="Arial" w:cs="Arial"/>
          <w:sz w:val="24"/>
          <w:szCs w:val="24"/>
        </w:rPr>
      </w:pPr>
      <w:r w:rsidRPr="00434008">
        <w:rPr>
          <w:rFonts w:ascii="Arial" w:hAnsi="Arial" w:cs="Arial"/>
          <w:b/>
          <w:bCs/>
          <w:sz w:val="24"/>
          <w:szCs w:val="24"/>
        </w:rPr>
        <w:drawing>
          <wp:anchor distT="0" distB="0" distL="114300" distR="114300" simplePos="0" relativeHeight="251661312" behindDoc="0" locked="0" layoutInCell="1" allowOverlap="1" wp14:anchorId="6D6C3387" wp14:editId="51B1CD17">
            <wp:simplePos x="0" y="0"/>
            <wp:positionH relativeFrom="margin">
              <wp:posOffset>220980</wp:posOffset>
            </wp:positionH>
            <wp:positionV relativeFrom="paragraph">
              <wp:posOffset>375920</wp:posOffset>
            </wp:positionV>
            <wp:extent cx="3330575" cy="1866265"/>
            <wp:effectExtent l="0" t="0" r="3175" b="635"/>
            <wp:wrapSquare wrapText="bothSides"/>
            <wp:docPr id="212480536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05364" name="Imagen 1" descr="Gráfico, Gráfico de barras&#10;&#10;El contenido generado por IA puede ser incorrecto."/>
                    <pic:cNvPicPr/>
                  </pic:nvPicPr>
                  <pic:blipFill rotWithShape="1">
                    <a:blip r:embed="rId7" cstate="print">
                      <a:extLst>
                        <a:ext uri="{28A0092B-C50C-407E-A947-70E740481C1C}">
                          <a14:useLocalDpi xmlns:a14="http://schemas.microsoft.com/office/drawing/2010/main" val="0"/>
                        </a:ext>
                      </a:extLst>
                    </a:blip>
                    <a:srcRect t="5406"/>
                    <a:stretch/>
                  </pic:blipFill>
                  <pic:spPr bwMode="auto">
                    <a:xfrm>
                      <a:off x="0" y="0"/>
                      <a:ext cx="3330575" cy="18662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sz w:val="24"/>
          <w:szCs w:val="24"/>
        </w:rPr>
        <w:t>Por lo tanto, son ejes donde se concentra la densidad de oferta de servicios de salud, desde la infraestructura hasta el personal calificado y complejidad de los servicios de salud, como se va a ver en el ejercicio de estimación econométrica en la siguiente sección.</w:t>
      </w:r>
    </w:p>
    <w:p w14:paraId="7DE23969" w14:textId="333F97D5" w:rsidR="00A20839" w:rsidRPr="00EE59B7" w:rsidRDefault="00A20839" w:rsidP="00A20839">
      <w:pPr>
        <w:rPr>
          <w:rFonts w:ascii="Arial" w:hAnsi="Arial" w:cs="Arial"/>
          <w:sz w:val="24"/>
          <w:szCs w:val="24"/>
        </w:rPr>
      </w:pPr>
    </w:p>
    <w:p w14:paraId="60401013" w14:textId="284FE305" w:rsidR="00A20839" w:rsidRDefault="00A20839" w:rsidP="00434008">
      <w:pPr>
        <w:rPr>
          <w:rFonts w:ascii="Arial" w:hAnsi="Arial" w:cs="Arial"/>
          <w:sz w:val="24"/>
          <w:szCs w:val="24"/>
        </w:rPr>
      </w:pPr>
    </w:p>
    <w:p w14:paraId="45961037" w14:textId="6DB8DA5A" w:rsidR="00A20839" w:rsidRDefault="00A20839" w:rsidP="00434008">
      <w:pPr>
        <w:rPr>
          <w:rFonts w:ascii="Arial" w:hAnsi="Arial" w:cs="Arial"/>
          <w:sz w:val="24"/>
          <w:szCs w:val="24"/>
        </w:rPr>
      </w:pPr>
    </w:p>
    <w:p w14:paraId="579FCE65" w14:textId="40E7A4C8" w:rsidR="00434008" w:rsidRPr="00434008" w:rsidRDefault="00A20839" w:rsidP="00434008">
      <w:pPr>
        <w:rPr>
          <w:rFonts w:ascii="Arial" w:hAnsi="Arial" w:cs="Arial"/>
          <w:b/>
          <w:bCs/>
          <w:sz w:val="24"/>
          <w:szCs w:val="24"/>
        </w:rPr>
      </w:pPr>
      <w:r w:rsidRPr="00434008">
        <w:rPr>
          <w:rFonts w:ascii="Arial" w:hAnsi="Arial" w:cs="Arial"/>
          <w:b/>
          <w:bCs/>
          <w:sz w:val="24"/>
          <w:szCs w:val="24"/>
        </w:rPr>
        <w:lastRenderedPageBreak/>
        <w:t xml:space="preserve"> </w:t>
      </w:r>
      <w:r w:rsidR="00434008" w:rsidRPr="00434008">
        <w:rPr>
          <w:rFonts w:ascii="Arial" w:hAnsi="Arial" w:cs="Arial"/>
          <w:b/>
          <w:bCs/>
          <w:sz w:val="24"/>
          <w:szCs w:val="24"/>
        </w:rPr>
        <w:t>Resultados del Modelo de Estimación</w:t>
      </w:r>
    </w:p>
    <w:tbl>
      <w:tblPr>
        <w:tblpPr w:leftFromText="141" w:rightFromText="141" w:vertAnchor="text" w:horzAnchor="margin" w:tblpXSpec="center" w:tblpY="10"/>
        <w:tblW w:w="5000" w:type="pct"/>
        <w:tblCellSpacing w:w="15" w:type="dxa"/>
        <w:tblCellMar>
          <w:top w:w="15" w:type="dxa"/>
          <w:left w:w="15" w:type="dxa"/>
          <w:bottom w:w="15" w:type="dxa"/>
          <w:right w:w="15" w:type="dxa"/>
        </w:tblCellMar>
        <w:tblLook w:val="04A0" w:firstRow="1" w:lastRow="0" w:firstColumn="1" w:lastColumn="0" w:noHBand="0" w:noVBand="1"/>
      </w:tblPr>
      <w:tblGrid>
        <w:gridCol w:w="3789"/>
        <w:gridCol w:w="1484"/>
        <w:gridCol w:w="1909"/>
        <w:gridCol w:w="873"/>
        <w:gridCol w:w="961"/>
        <w:gridCol w:w="79"/>
        <w:gridCol w:w="1705"/>
      </w:tblGrid>
      <w:tr w:rsidR="00A20839" w:rsidRPr="00434008" w14:paraId="4DF644CD" w14:textId="77777777" w:rsidTr="00A20839">
        <w:trPr>
          <w:tblHeader/>
          <w:tblCellSpacing w:w="15" w:type="dxa"/>
        </w:trPr>
        <w:tc>
          <w:tcPr>
            <w:tcW w:w="1722" w:type="pct"/>
            <w:vAlign w:val="center"/>
            <w:hideMark/>
          </w:tcPr>
          <w:p w14:paraId="1C405EC3" w14:textId="77777777" w:rsidR="00A20839" w:rsidRPr="00434008" w:rsidRDefault="00A20839" w:rsidP="00A20839">
            <w:pPr>
              <w:rPr>
                <w:rFonts w:ascii="Arial" w:hAnsi="Arial" w:cs="Arial"/>
                <w:b/>
                <w:bCs/>
                <w:sz w:val="20"/>
                <w:szCs w:val="20"/>
              </w:rPr>
            </w:pPr>
            <w:r w:rsidRPr="00434008">
              <w:rPr>
                <w:rFonts w:ascii="Arial" w:hAnsi="Arial" w:cs="Arial"/>
                <w:b/>
                <w:bCs/>
                <w:sz w:val="20"/>
                <w:szCs w:val="20"/>
              </w:rPr>
              <w:t>Variable</w:t>
            </w:r>
          </w:p>
        </w:tc>
        <w:tc>
          <w:tcPr>
            <w:tcW w:w="669" w:type="pct"/>
            <w:vAlign w:val="center"/>
            <w:hideMark/>
          </w:tcPr>
          <w:p w14:paraId="6C8021E6" w14:textId="77777777" w:rsidR="00A20839" w:rsidRPr="00434008" w:rsidRDefault="00A20839" w:rsidP="00A20839">
            <w:pPr>
              <w:rPr>
                <w:rFonts w:ascii="Arial" w:hAnsi="Arial" w:cs="Arial"/>
                <w:b/>
                <w:bCs/>
                <w:sz w:val="20"/>
                <w:szCs w:val="20"/>
              </w:rPr>
            </w:pPr>
            <w:r w:rsidRPr="00434008">
              <w:rPr>
                <w:rFonts w:ascii="Arial" w:hAnsi="Arial" w:cs="Arial"/>
                <w:b/>
                <w:bCs/>
                <w:sz w:val="20"/>
                <w:szCs w:val="20"/>
              </w:rPr>
              <w:t>Coeficiente</w:t>
            </w:r>
          </w:p>
        </w:tc>
        <w:tc>
          <w:tcPr>
            <w:tcW w:w="864" w:type="pct"/>
            <w:vAlign w:val="center"/>
            <w:hideMark/>
          </w:tcPr>
          <w:p w14:paraId="0AA16434" w14:textId="77777777" w:rsidR="00A20839" w:rsidRPr="00434008" w:rsidRDefault="00A20839" w:rsidP="00A20839">
            <w:pPr>
              <w:rPr>
                <w:rFonts w:ascii="Arial" w:hAnsi="Arial" w:cs="Arial"/>
                <w:b/>
                <w:bCs/>
                <w:sz w:val="20"/>
                <w:szCs w:val="20"/>
              </w:rPr>
            </w:pPr>
            <w:r w:rsidRPr="00434008">
              <w:rPr>
                <w:rFonts w:ascii="Arial" w:hAnsi="Arial" w:cs="Arial"/>
                <w:b/>
                <w:bCs/>
                <w:sz w:val="20"/>
                <w:szCs w:val="20"/>
              </w:rPr>
              <w:t>Error Estándar</w:t>
            </w:r>
          </w:p>
        </w:tc>
        <w:tc>
          <w:tcPr>
            <w:tcW w:w="387" w:type="pct"/>
            <w:vAlign w:val="center"/>
            <w:hideMark/>
          </w:tcPr>
          <w:p w14:paraId="6C8DC4E0" w14:textId="77777777" w:rsidR="00A20839" w:rsidRPr="00434008" w:rsidRDefault="00A20839" w:rsidP="00A20839">
            <w:pPr>
              <w:rPr>
                <w:rFonts w:ascii="Arial" w:hAnsi="Arial" w:cs="Arial"/>
                <w:b/>
                <w:bCs/>
                <w:sz w:val="20"/>
                <w:szCs w:val="20"/>
              </w:rPr>
            </w:pPr>
            <w:r w:rsidRPr="00434008">
              <w:rPr>
                <w:rFonts w:ascii="Arial" w:hAnsi="Arial" w:cs="Arial"/>
                <w:b/>
                <w:bCs/>
                <w:sz w:val="20"/>
                <w:szCs w:val="20"/>
              </w:rPr>
              <w:t>Valor t</w:t>
            </w:r>
          </w:p>
        </w:tc>
        <w:tc>
          <w:tcPr>
            <w:tcW w:w="428" w:type="pct"/>
            <w:vAlign w:val="center"/>
            <w:hideMark/>
          </w:tcPr>
          <w:p w14:paraId="15C6C91A" w14:textId="77777777" w:rsidR="00A20839" w:rsidRPr="00434008" w:rsidRDefault="00A20839" w:rsidP="00A20839">
            <w:pPr>
              <w:rPr>
                <w:rFonts w:ascii="Arial" w:hAnsi="Arial" w:cs="Arial"/>
                <w:b/>
                <w:bCs/>
                <w:sz w:val="20"/>
                <w:szCs w:val="20"/>
              </w:rPr>
            </w:pPr>
            <w:r w:rsidRPr="00434008">
              <w:rPr>
                <w:rFonts w:ascii="Arial" w:hAnsi="Arial" w:cs="Arial"/>
                <w:b/>
                <w:bCs/>
                <w:sz w:val="20"/>
                <w:szCs w:val="20"/>
              </w:rPr>
              <w:t>Valor P</w:t>
            </w:r>
          </w:p>
        </w:tc>
        <w:tc>
          <w:tcPr>
            <w:tcW w:w="22" w:type="pct"/>
            <w:vAlign w:val="center"/>
          </w:tcPr>
          <w:p w14:paraId="061DAA83" w14:textId="77777777" w:rsidR="00A20839" w:rsidRPr="00434008" w:rsidRDefault="00A20839" w:rsidP="00A20839">
            <w:pPr>
              <w:rPr>
                <w:rFonts w:ascii="Arial" w:hAnsi="Arial" w:cs="Arial"/>
                <w:b/>
                <w:bCs/>
                <w:sz w:val="20"/>
                <w:szCs w:val="20"/>
              </w:rPr>
            </w:pPr>
          </w:p>
        </w:tc>
        <w:tc>
          <w:tcPr>
            <w:tcW w:w="763" w:type="pct"/>
            <w:vAlign w:val="center"/>
            <w:hideMark/>
          </w:tcPr>
          <w:p w14:paraId="3B2322AE" w14:textId="77777777" w:rsidR="00A20839" w:rsidRPr="00434008" w:rsidRDefault="00A20839" w:rsidP="00A20839">
            <w:pPr>
              <w:rPr>
                <w:rFonts w:ascii="Arial" w:hAnsi="Arial" w:cs="Arial"/>
                <w:b/>
                <w:bCs/>
                <w:sz w:val="20"/>
                <w:szCs w:val="20"/>
              </w:rPr>
            </w:pPr>
            <w:r w:rsidRPr="00434008">
              <w:rPr>
                <w:rFonts w:ascii="Arial" w:hAnsi="Arial" w:cs="Arial"/>
                <w:b/>
                <w:bCs/>
                <w:sz w:val="20"/>
                <w:szCs w:val="20"/>
              </w:rPr>
              <w:t>Significancia</w:t>
            </w:r>
          </w:p>
        </w:tc>
      </w:tr>
      <w:tr w:rsidR="00A20839" w:rsidRPr="00434008" w14:paraId="75E8C092" w14:textId="77777777" w:rsidTr="00A20839">
        <w:trPr>
          <w:tblCellSpacing w:w="15" w:type="dxa"/>
        </w:trPr>
        <w:tc>
          <w:tcPr>
            <w:tcW w:w="1722" w:type="pct"/>
            <w:vAlign w:val="center"/>
            <w:hideMark/>
          </w:tcPr>
          <w:p w14:paraId="7BBA5345" w14:textId="77777777" w:rsidR="00A20839" w:rsidRPr="00434008" w:rsidRDefault="00A20839" w:rsidP="00A20839">
            <w:pPr>
              <w:rPr>
                <w:rFonts w:ascii="Arial" w:hAnsi="Arial" w:cs="Arial"/>
                <w:sz w:val="20"/>
                <w:szCs w:val="20"/>
              </w:rPr>
            </w:pPr>
            <w:r w:rsidRPr="00434008">
              <w:rPr>
                <w:rFonts w:ascii="Arial" w:hAnsi="Arial" w:cs="Arial"/>
                <w:sz w:val="20"/>
                <w:szCs w:val="20"/>
              </w:rPr>
              <w:t>Constante</w:t>
            </w:r>
          </w:p>
        </w:tc>
        <w:tc>
          <w:tcPr>
            <w:tcW w:w="669" w:type="pct"/>
            <w:vAlign w:val="center"/>
            <w:hideMark/>
          </w:tcPr>
          <w:p w14:paraId="3619865D" w14:textId="77777777" w:rsidR="00A20839" w:rsidRPr="00434008" w:rsidRDefault="00A20839" w:rsidP="00A20839">
            <w:pPr>
              <w:rPr>
                <w:rFonts w:ascii="Arial" w:hAnsi="Arial" w:cs="Arial"/>
                <w:sz w:val="20"/>
                <w:szCs w:val="20"/>
              </w:rPr>
            </w:pPr>
            <w:r w:rsidRPr="00434008">
              <w:rPr>
                <w:rFonts w:ascii="Arial" w:hAnsi="Arial" w:cs="Arial"/>
                <w:sz w:val="20"/>
                <w:szCs w:val="20"/>
              </w:rPr>
              <w:t>16.017</w:t>
            </w:r>
          </w:p>
        </w:tc>
        <w:tc>
          <w:tcPr>
            <w:tcW w:w="864" w:type="pct"/>
            <w:vAlign w:val="center"/>
            <w:hideMark/>
          </w:tcPr>
          <w:p w14:paraId="0C4460D9" w14:textId="77777777" w:rsidR="00A20839" w:rsidRPr="00434008" w:rsidRDefault="00A20839" w:rsidP="00A20839">
            <w:pPr>
              <w:rPr>
                <w:rFonts w:ascii="Arial" w:hAnsi="Arial" w:cs="Arial"/>
                <w:sz w:val="20"/>
                <w:szCs w:val="20"/>
              </w:rPr>
            </w:pPr>
            <w:r w:rsidRPr="00434008">
              <w:rPr>
                <w:rFonts w:ascii="Arial" w:hAnsi="Arial" w:cs="Arial"/>
                <w:sz w:val="20"/>
                <w:szCs w:val="20"/>
              </w:rPr>
              <w:t>1.908</w:t>
            </w:r>
          </w:p>
        </w:tc>
        <w:tc>
          <w:tcPr>
            <w:tcW w:w="387" w:type="pct"/>
            <w:vAlign w:val="center"/>
            <w:hideMark/>
          </w:tcPr>
          <w:p w14:paraId="36442E1D" w14:textId="77777777" w:rsidR="00A20839" w:rsidRPr="00434008" w:rsidRDefault="00A20839" w:rsidP="00A20839">
            <w:pPr>
              <w:rPr>
                <w:rFonts w:ascii="Arial" w:hAnsi="Arial" w:cs="Arial"/>
                <w:sz w:val="20"/>
                <w:szCs w:val="20"/>
              </w:rPr>
            </w:pPr>
            <w:r w:rsidRPr="00434008">
              <w:rPr>
                <w:rFonts w:ascii="Arial" w:hAnsi="Arial" w:cs="Arial"/>
                <w:sz w:val="20"/>
                <w:szCs w:val="20"/>
              </w:rPr>
              <w:t>8.395</w:t>
            </w:r>
          </w:p>
        </w:tc>
        <w:tc>
          <w:tcPr>
            <w:tcW w:w="428" w:type="pct"/>
            <w:vAlign w:val="center"/>
            <w:hideMark/>
          </w:tcPr>
          <w:p w14:paraId="70A9DABC" w14:textId="77777777" w:rsidR="00A20839" w:rsidRPr="00434008" w:rsidRDefault="00A20839" w:rsidP="00A20839">
            <w:pPr>
              <w:rPr>
                <w:rFonts w:ascii="Arial" w:hAnsi="Arial" w:cs="Arial"/>
                <w:sz w:val="20"/>
                <w:szCs w:val="20"/>
              </w:rPr>
            </w:pPr>
            <w:r w:rsidRPr="00434008">
              <w:rPr>
                <w:rFonts w:ascii="Arial" w:hAnsi="Arial" w:cs="Arial"/>
                <w:sz w:val="20"/>
                <w:szCs w:val="20"/>
              </w:rPr>
              <w:t>&lt;0.001</w:t>
            </w:r>
          </w:p>
        </w:tc>
        <w:tc>
          <w:tcPr>
            <w:tcW w:w="22" w:type="pct"/>
            <w:vAlign w:val="center"/>
          </w:tcPr>
          <w:p w14:paraId="3F395416" w14:textId="77777777" w:rsidR="00A20839" w:rsidRPr="00434008" w:rsidRDefault="00A20839" w:rsidP="00A20839">
            <w:pPr>
              <w:rPr>
                <w:rFonts w:ascii="Arial" w:hAnsi="Arial" w:cs="Arial"/>
                <w:sz w:val="20"/>
                <w:szCs w:val="20"/>
              </w:rPr>
            </w:pPr>
          </w:p>
        </w:tc>
        <w:tc>
          <w:tcPr>
            <w:tcW w:w="763" w:type="pct"/>
            <w:vAlign w:val="center"/>
            <w:hideMark/>
          </w:tcPr>
          <w:p w14:paraId="155B9827" w14:textId="77777777" w:rsidR="00A20839" w:rsidRPr="00434008" w:rsidRDefault="00A20839" w:rsidP="00A20839">
            <w:pPr>
              <w:rPr>
                <w:rFonts w:ascii="Arial" w:hAnsi="Arial" w:cs="Arial"/>
                <w:sz w:val="20"/>
                <w:szCs w:val="20"/>
              </w:rPr>
            </w:pPr>
            <w:r w:rsidRPr="00434008">
              <w:rPr>
                <w:rFonts w:ascii="Arial" w:hAnsi="Arial" w:cs="Arial"/>
                <w:sz w:val="20"/>
                <w:szCs w:val="20"/>
              </w:rPr>
              <w:t>Significativo</w:t>
            </w:r>
          </w:p>
        </w:tc>
      </w:tr>
      <w:tr w:rsidR="00A20839" w:rsidRPr="00434008" w14:paraId="56783C8B" w14:textId="77777777" w:rsidTr="00A20839">
        <w:trPr>
          <w:tblCellSpacing w:w="15" w:type="dxa"/>
        </w:trPr>
        <w:tc>
          <w:tcPr>
            <w:tcW w:w="1722" w:type="pct"/>
            <w:vAlign w:val="center"/>
            <w:hideMark/>
          </w:tcPr>
          <w:p w14:paraId="7D3087EA" w14:textId="77777777" w:rsidR="00A20839" w:rsidRPr="00434008" w:rsidRDefault="00A20839" w:rsidP="00A20839">
            <w:pPr>
              <w:rPr>
                <w:rFonts w:ascii="Arial" w:hAnsi="Arial" w:cs="Arial"/>
                <w:sz w:val="20"/>
                <w:szCs w:val="20"/>
              </w:rPr>
            </w:pPr>
            <w:r w:rsidRPr="00434008">
              <w:rPr>
                <w:rFonts w:ascii="Arial" w:hAnsi="Arial" w:cs="Arial"/>
                <w:sz w:val="20"/>
                <w:szCs w:val="20"/>
              </w:rPr>
              <w:t>Sedes por km²</w:t>
            </w:r>
          </w:p>
        </w:tc>
        <w:tc>
          <w:tcPr>
            <w:tcW w:w="669" w:type="pct"/>
            <w:vAlign w:val="center"/>
            <w:hideMark/>
          </w:tcPr>
          <w:p w14:paraId="49DB04FB" w14:textId="77777777" w:rsidR="00A20839" w:rsidRPr="00434008" w:rsidRDefault="00A20839" w:rsidP="00A20839">
            <w:pPr>
              <w:rPr>
                <w:rFonts w:ascii="Arial" w:hAnsi="Arial" w:cs="Arial"/>
                <w:sz w:val="20"/>
                <w:szCs w:val="20"/>
              </w:rPr>
            </w:pPr>
            <w:r w:rsidRPr="00434008">
              <w:rPr>
                <w:rFonts w:ascii="Arial" w:hAnsi="Arial" w:cs="Arial"/>
                <w:sz w:val="20"/>
                <w:szCs w:val="20"/>
              </w:rPr>
              <w:t>278.045</w:t>
            </w:r>
          </w:p>
        </w:tc>
        <w:tc>
          <w:tcPr>
            <w:tcW w:w="864" w:type="pct"/>
            <w:vAlign w:val="center"/>
            <w:hideMark/>
          </w:tcPr>
          <w:p w14:paraId="725AFD74" w14:textId="77777777" w:rsidR="00A20839" w:rsidRPr="00434008" w:rsidRDefault="00A20839" w:rsidP="00A20839">
            <w:pPr>
              <w:rPr>
                <w:rFonts w:ascii="Arial" w:hAnsi="Arial" w:cs="Arial"/>
                <w:sz w:val="20"/>
                <w:szCs w:val="20"/>
              </w:rPr>
            </w:pPr>
            <w:r w:rsidRPr="00434008">
              <w:rPr>
                <w:rFonts w:ascii="Arial" w:hAnsi="Arial" w:cs="Arial"/>
                <w:sz w:val="20"/>
                <w:szCs w:val="20"/>
              </w:rPr>
              <w:t>29.255</w:t>
            </w:r>
          </w:p>
        </w:tc>
        <w:tc>
          <w:tcPr>
            <w:tcW w:w="387" w:type="pct"/>
            <w:vAlign w:val="center"/>
            <w:hideMark/>
          </w:tcPr>
          <w:p w14:paraId="27BA370A" w14:textId="77777777" w:rsidR="00A20839" w:rsidRPr="00434008" w:rsidRDefault="00A20839" w:rsidP="00A20839">
            <w:pPr>
              <w:rPr>
                <w:rFonts w:ascii="Arial" w:hAnsi="Arial" w:cs="Arial"/>
                <w:sz w:val="20"/>
                <w:szCs w:val="20"/>
              </w:rPr>
            </w:pPr>
            <w:r w:rsidRPr="00434008">
              <w:rPr>
                <w:rFonts w:ascii="Arial" w:hAnsi="Arial" w:cs="Arial"/>
                <w:sz w:val="20"/>
                <w:szCs w:val="20"/>
              </w:rPr>
              <w:t>9.504</w:t>
            </w:r>
          </w:p>
        </w:tc>
        <w:tc>
          <w:tcPr>
            <w:tcW w:w="428" w:type="pct"/>
            <w:vAlign w:val="center"/>
            <w:hideMark/>
          </w:tcPr>
          <w:p w14:paraId="2DDE43B0" w14:textId="77777777" w:rsidR="00A20839" w:rsidRPr="00434008" w:rsidRDefault="00A20839" w:rsidP="00A20839">
            <w:pPr>
              <w:rPr>
                <w:rFonts w:ascii="Arial" w:hAnsi="Arial" w:cs="Arial"/>
                <w:sz w:val="20"/>
                <w:szCs w:val="20"/>
              </w:rPr>
            </w:pPr>
            <w:r w:rsidRPr="00434008">
              <w:rPr>
                <w:rFonts w:ascii="Arial" w:hAnsi="Arial" w:cs="Arial"/>
                <w:sz w:val="20"/>
                <w:szCs w:val="20"/>
              </w:rPr>
              <w:t>&lt;0.001</w:t>
            </w:r>
          </w:p>
        </w:tc>
        <w:tc>
          <w:tcPr>
            <w:tcW w:w="22" w:type="pct"/>
            <w:vAlign w:val="center"/>
          </w:tcPr>
          <w:p w14:paraId="42D79499" w14:textId="77777777" w:rsidR="00A20839" w:rsidRPr="00434008" w:rsidRDefault="00A20839" w:rsidP="00A20839">
            <w:pPr>
              <w:rPr>
                <w:rFonts w:ascii="Arial" w:hAnsi="Arial" w:cs="Arial"/>
                <w:sz w:val="20"/>
                <w:szCs w:val="20"/>
              </w:rPr>
            </w:pPr>
          </w:p>
        </w:tc>
        <w:tc>
          <w:tcPr>
            <w:tcW w:w="763" w:type="pct"/>
            <w:vAlign w:val="center"/>
            <w:hideMark/>
          </w:tcPr>
          <w:p w14:paraId="636C8D5E" w14:textId="77777777" w:rsidR="00A20839" w:rsidRPr="00434008" w:rsidRDefault="00A20839" w:rsidP="00A20839">
            <w:pPr>
              <w:rPr>
                <w:rFonts w:ascii="Arial" w:hAnsi="Arial" w:cs="Arial"/>
                <w:sz w:val="20"/>
                <w:szCs w:val="20"/>
              </w:rPr>
            </w:pPr>
            <w:r w:rsidRPr="00434008">
              <w:rPr>
                <w:rFonts w:ascii="Arial" w:hAnsi="Arial" w:cs="Arial"/>
                <w:sz w:val="20"/>
                <w:szCs w:val="20"/>
              </w:rPr>
              <w:t>Significativo</w:t>
            </w:r>
          </w:p>
        </w:tc>
      </w:tr>
      <w:tr w:rsidR="00A20839" w:rsidRPr="00434008" w14:paraId="6BDD4CC5" w14:textId="77777777" w:rsidTr="00A20839">
        <w:trPr>
          <w:tblCellSpacing w:w="15" w:type="dxa"/>
        </w:trPr>
        <w:tc>
          <w:tcPr>
            <w:tcW w:w="1722" w:type="pct"/>
            <w:vAlign w:val="center"/>
            <w:hideMark/>
          </w:tcPr>
          <w:p w14:paraId="5DB781D4" w14:textId="77777777" w:rsidR="00A20839" w:rsidRPr="00434008" w:rsidRDefault="00A20839" w:rsidP="00A20839">
            <w:pPr>
              <w:rPr>
                <w:rFonts w:ascii="Arial" w:hAnsi="Arial" w:cs="Arial"/>
                <w:sz w:val="20"/>
                <w:szCs w:val="20"/>
              </w:rPr>
            </w:pPr>
            <w:r w:rsidRPr="00434008">
              <w:rPr>
                <w:rFonts w:ascii="Arial" w:hAnsi="Arial" w:cs="Arial"/>
                <w:sz w:val="20"/>
                <w:szCs w:val="20"/>
              </w:rPr>
              <w:t>Media de Complejidad por 100k</w:t>
            </w:r>
          </w:p>
        </w:tc>
        <w:tc>
          <w:tcPr>
            <w:tcW w:w="669" w:type="pct"/>
            <w:vAlign w:val="center"/>
            <w:hideMark/>
          </w:tcPr>
          <w:p w14:paraId="63FC79FB" w14:textId="77777777" w:rsidR="00A20839" w:rsidRPr="00434008" w:rsidRDefault="00A20839" w:rsidP="00A20839">
            <w:pPr>
              <w:rPr>
                <w:rFonts w:ascii="Arial" w:hAnsi="Arial" w:cs="Arial"/>
                <w:sz w:val="20"/>
                <w:szCs w:val="20"/>
              </w:rPr>
            </w:pPr>
            <w:r w:rsidRPr="00434008">
              <w:rPr>
                <w:rFonts w:ascii="Arial" w:hAnsi="Arial" w:cs="Arial"/>
                <w:sz w:val="20"/>
                <w:szCs w:val="20"/>
              </w:rPr>
              <w:t>0.485</w:t>
            </w:r>
          </w:p>
        </w:tc>
        <w:tc>
          <w:tcPr>
            <w:tcW w:w="864" w:type="pct"/>
            <w:vAlign w:val="center"/>
            <w:hideMark/>
          </w:tcPr>
          <w:p w14:paraId="67E07576" w14:textId="77777777" w:rsidR="00A20839" w:rsidRPr="00434008" w:rsidRDefault="00A20839" w:rsidP="00A20839">
            <w:pPr>
              <w:rPr>
                <w:rFonts w:ascii="Arial" w:hAnsi="Arial" w:cs="Arial"/>
                <w:sz w:val="20"/>
                <w:szCs w:val="20"/>
              </w:rPr>
            </w:pPr>
            <w:r w:rsidRPr="00434008">
              <w:rPr>
                <w:rFonts w:ascii="Arial" w:hAnsi="Arial" w:cs="Arial"/>
                <w:sz w:val="20"/>
                <w:szCs w:val="20"/>
              </w:rPr>
              <w:t>0.035</w:t>
            </w:r>
          </w:p>
        </w:tc>
        <w:tc>
          <w:tcPr>
            <w:tcW w:w="387" w:type="pct"/>
            <w:vAlign w:val="center"/>
            <w:hideMark/>
          </w:tcPr>
          <w:p w14:paraId="2907238F" w14:textId="77777777" w:rsidR="00A20839" w:rsidRPr="00434008" w:rsidRDefault="00A20839" w:rsidP="00A20839">
            <w:pPr>
              <w:rPr>
                <w:rFonts w:ascii="Arial" w:hAnsi="Arial" w:cs="Arial"/>
                <w:sz w:val="20"/>
                <w:szCs w:val="20"/>
              </w:rPr>
            </w:pPr>
            <w:r w:rsidRPr="00434008">
              <w:rPr>
                <w:rFonts w:ascii="Arial" w:hAnsi="Arial" w:cs="Arial"/>
                <w:sz w:val="20"/>
                <w:szCs w:val="20"/>
              </w:rPr>
              <w:t>13.962</w:t>
            </w:r>
          </w:p>
        </w:tc>
        <w:tc>
          <w:tcPr>
            <w:tcW w:w="428" w:type="pct"/>
            <w:vAlign w:val="center"/>
            <w:hideMark/>
          </w:tcPr>
          <w:p w14:paraId="11EBE9D0" w14:textId="77777777" w:rsidR="00A20839" w:rsidRPr="00434008" w:rsidRDefault="00A20839" w:rsidP="00A20839">
            <w:pPr>
              <w:rPr>
                <w:rFonts w:ascii="Arial" w:hAnsi="Arial" w:cs="Arial"/>
                <w:sz w:val="20"/>
                <w:szCs w:val="20"/>
              </w:rPr>
            </w:pPr>
            <w:r w:rsidRPr="00434008">
              <w:rPr>
                <w:rFonts w:ascii="Arial" w:hAnsi="Arial" w:cs="Arial"/>
                <w:sz w:val="20"/>
                <w:szCs w:val="20"/>
              </w:rPr>
              <w:t>&lt;0.001</w:t>
            </w:r>
          </w:p>
        </w:tc>
        <w:tc>
          <w:tcPr>
            <w:tcW w:w="22" w:type="pct"/>
            <w:vAlign w:val="center"/>
          </w:tcPr>
          <w:p w14:paraId="22758145" w14:textId="77777777" w:rsidR="00A20839" w:rsidRPr="00434008" w:rsidRDefault="00A20839" w:rsidP="00A20839">
            <w:pPr>
              <w:rPr>
                <w:rFonts w:ascii="Arial" w:hAnsi="Arial" w:cs="Arial"/>
                <w:sz w:val="20"/>
                <w:szCs w:val="20"/>
              </w:rPr>
            </w:pPr>
          </w:p>
        </w:tc>
        <w:tc>
          <w:tcPr>
            <w:tcW w:w="763" w:type="pct"/>
            <w:vAlign w:val="center"/>
            <w:hideMark/>
          </w:tcPr>
          <w:p w14:paraId="10ECEA18" w14:textId="77777777" w:rsidR="00A20839" w:rsidRPr="00434008" w:rsidRDefault="00A20839" w:rsidP="00A20839">
            <w:pPr>
              <w:rPr>
                <w:rFonts w:ascii="Arial" w:hAnsi="Arial" w:cs="Arial"/>
                <w:sz w:val="20"/>
                <w:szCs w:val="20"/>
              </w:rPr>
            </w:pPr>
            <w:r w:rsidRPr="00434008">
              <w:rPr>
                <w:rFonts w:ascii="Arial" w:hAnsi="Arial" w:cs="Arial"/>
                <w:sz w:val="20"/>
                <w:szCs w:val="20"/>
              </w:rPr>
              <w:t>Significativo</w:t>
            </w:r>
          </w:p>
        </w:tc>
      </w:tr>
      <w:tr w:rsidR="00A20839" w:rsidRPr="00434008" w14:paraId="67C4D3DD" w14:textId="77777777" w:rsidTr="00A20839">
        <w:trPr>
          <w:tblCellSpacing w:w="15" w:type="dxa"/>
        </w:trPr>
        <w:tc>
          <w:tcPr>
            <w:tcW w:w="1722" w:type="pct"/>
            <w:vAlign w:val="center"/>
            <w:hideMark/>
          </w:tcPr>
          <w:p w14:paraId="23D7084C" w14:textId="77777777" w:rsidR="00A20839" w:rsidRPr="00434008" w:rsidRDefault="00A20839" w:rsidP="00A20839">
            <w:pPr>
              <w:rPr>
                <w:rFonts w:ascii="Arial" w:hAnsi="Arial" w:cs="Arial"/>
                <w:sz w:val="20"/>
                <w:szCs w:val="20"/>
              </w:rPr>
            </w:pPr>
            <w:r w:rsidRPr="00434008">
              <w:rPr>
                <w:rFonts w:ascii="Arial" w:hAnsi="Arial" w:cs="Arial"/>
                <w:sz w:val="20"/>
                <w:szCs w:val="20"/>
              </w:rPr>
              <w:t>Hospitalario por 100k</w:t>
            </w:r>
          </w:p>
        </w:tc>
        <w:tc>
          <w:tcPr>
            <w:tcW w:w="669" w:type="pct"/>
            <w:vAlign w:val="center"/>
            <w:hideMark/>
          </w:tcPr>
          <w:p w14:paraId="0B66004A" w14:textId="77777777" w:rsidR="00A20839" w:rsidRPr="00434008" w:rsidRDefault="00A20839" w:rsidP="00A20839">
            <w:pPr>
              <w:rPr>
                <w:rFonts w:ascii="Arial" w:hAnsi="Arial" w:cs="Arial"/>
                <w:sz w:val="20"/>
                <w:szCs w:val="20"/>
              </w:rPr>
            </w:pPr>
            <w:r w:rsidRPr="00434008">
              <w:rPr>
                <w:rFonts w:ascii="Arial" w:hAnsi="Arial" w:cs="Arial"/>
                <w:sz w:val="20"/>
                <w:szCs w:val="20"/>
              </w:rPr>
              <w:t>-0.166</w:t>
            </w:r>
          </w:p>
        </w:tc>
        <w:tc>
          <w:tcPr>
            <w:tcW w:w="864" w:type="pct"/>
            <w:vAlign w:val="center"/>
            <w:hideMark/>
          </w:tcPr>
          <w:p w14:paraId="6325BE98" w14:textId="77777777" w:rsidR="00A20839" w:rsidRPr="00434008" w:rsidRDefault="00A20839" w:rsidP="00A20839">
            <w:pPr>
              <w:rPr>
                <w:rFonts w:ascii="Arial" w:hAnsi="Arial" w:cs="Arial"/>
                <w:sz w:val="20"/>
                <w:szCs w:val="20"/>
              </w:rPr>
            </w:pPr>
            <w:r w:rsidRPr="00434008">
              <w:rPr>
                <w:rFonts w:ascii="Arial" w:hAnsi="Arial" w:cs="Arial"/>
                <w:sz w:val="20"/>
                <w:szCs w:val="20"/>
              </w:rPr>
              <w:t>0.056</w:t>
            </w:r>
          </w:p>
        </w:tc>
        <w:tc>
          <w:tcPr>
            <w:tcW w:w="387" w:type="pct"/>
            <w:vAlign w:val="center"/>
            <w:hideMark/>
          </w:tcPr>
          <w:p w14:paraId="3A0DB166" w14:textId="77777777" w:rsidR="00A20839" w:rsidRPr="00434008" w:rsidRDefault="00A20839" w:rsidP="00A20839">
            <w:pPr>
              <w:rPr>
                <w:rFonts w:ascii="Arial" w:hAnsi="Arial" w:cs="Arial"/>
                <w:sz w:val="20"/>
                <w:szCs w:val="20"/>
              </w:rPr>
            </w:pPr>
            <w:r w:rsidRPr="00434008">
              <w:rPr>
                <w:rFonts w:ascii="Arial" w:hAnsi="Arial" w:cs="Arial"/>
                <w:sz w:val="20"/>
                <w:szCs w:val="20"/>
              </w:rPr>
              <w:t>-2.975</w:t>
            </w:r>
          </w:p>
        </w:tc>
        <w:tc>
          <w:tcPr>
            <w:tcW w:w="428" w:type="pct"/>
            <w:vAlign w:val="center"/>
            <w:hideMark/>
          </w:tcPr>
          <w:p w14:paraId="3A5B6A46" w14:textId="77777777" w:rsidR="00A20839" w:rsidRPr="00434008" w:rsidRDefault="00A20839" w:rsidP="00A20839">
            <w:pPr>
              <w:rPr>
                <w:rFonts w:ascii="Arial" w:hAnsi="Arial" w:cs="Arial"/>
                <w:sz w:val="20"/>
                <w:szCs w:val="20"/>
              </w:rPr>
            </w:pPr>
            <w:r w:rsidRPr="00434008">
              <w:rPr>
                <w:rFonts w:ascii="Arial" w:hAnsi="Arial" w:cs="Arial"/>
                <w:sz w:val="20"/>
                <w:szCs w:val="20"/>
              </w:rPr>
              <w:t>0.003</w:t>
            </w:r>
          </w:p>
        </w:tc>
        <w:tc>
          <w:tcPr>
            <w:tcW w:w="22" w:type="pct"/>
            <w:vAlign w:val="center"/>
          </w:tcPr>
          <w:p w14:paraId="6008DF90" w14:textId="77777777" w:rsidR="00A20839" w:rsidRPr="00434008" w:rsidRDefault="00A20839" w:rsidP="00A20839">
            <w:pPr>
              <w:rPr>
                <w:rFonts w:ascii="Arial" w:hAnsi="Arial" w:cs="Arial"/>
                <w:sz w:val="20"/>
                <w:szCs w:val="20"/>
              </w:rPr>
            </w:pPr>
          </w:p>
        </w:tc>
        <w:tc>
          <w:tcPr>
            <w:tcW w:w="763" w:type="pct"/>
            <w:vAlign w:val="center"/>
            <w:hideMark/>
          </w:tcPr>
          <w:p w14:paraId="4F7572E0" w14:textId="77777777" w:rsidR="00A20839" w:rsidRPr="00434008" w:rsidRDefault="00A20839" w:rsidP="00A20839">
            <w:pPr>
              <w:rPr>
                <w:rFonts w:ascii="Arial" w:hAnsi="Arial" w:cs="Arial"/>
                <w:sz w:val="20"/>
                <w:szCs w:val="20"/>
              </w:rPr>
            </w:pPr>
            <w:r w:rsidRPr="00434008">
              <w:rPr>
                <w:rFonts w:ascii="Arial" w:hAnsi="Arial" w:cs="Arial"/>
                <w:sz w:val="20"/>
                <w:szCs w:val="20"/>
              </w:rPr>
              <w:t>Significativo</w:t>
            </w:r>
          </w:p>
        </w:tc>
      </w:tr>
      <w:tr w:rsidR="00A20839" w:rsidRPr="00434008" w14:paraId="57521BA7" w14:textId="77777777" w:rsidTr="00A20839">
        <w:trPr>
          <w:tblCellSpacing w:w="15" w:type="dxa"/>
        </w:trPr>
        <w:tc>
          <w:tcPr>
            <w:tcW w:w="1722" w:type="pct"/>
            <w:vAlign w:val="center"/>
            <w:hideMark/>
          </w:tcPr>
          <w:p w14:paraId="0500B2FC" w14:textId="77777777" w:rsidR="00A20839" w:rsidRPr="00434008" w:rsidRDefault="00A20839" w:rsidP="00A20839">
            <w:pPr>
              <w:rPr>
                <w:rFonts w:ascii="Arial" w:hAnsi="Arial" w:cs="Arial"/>
                <w:sz w:val="20"/>
                <w:szCs w:val="20"/>
              </w:rPr>
            </w:pPr>
            <w:r w:rsidRPr="00434008">
              <w:rPr>
                <w:rFonts w:ascii="Arial" w:hAnsi="Arial" w:cs="Arial"/>
                <w:sz w:val="20"/>
                <w:szCs w:val="20"/>
              </w:rPr>
              <w:t>Ambulatorio por 100k</w:t>
            </w:r>
          </w:p>
        </w:tc>
        <w:tc>
          <w:tcPr>
            <w:tcW w:w="669" w:type="pct"/>
            <w:vAlign w:val="center"/>
            <w:hideMark/>
          </w:tcPr>
          <w:p w14:paraId="06DF1E08" w14:textId="77777777" w:rsidR="00A20839" w:rsidRPr="00434008" w:rsidRDefault="00A20839" w:rsidP="00A20839">
            <w:pPr>
              <w:rPr>
                <w:rFonts w:ascii="Arial" w:hAnsi="Arial" w:cs="Arial"/>
                <w:sz w:val="20"/>
                <w:szCs w:val="20"/>
              </w:rPr>
            </w:pPr>
            <w:r w:rsidRPr="00434008">
              <w:rPr>
                <w:rFonts w:ascii="Arial" w:hAnsi="Arial" w:cs="Arial"/>
                <w:sz w:val="20"/>
                <w:szCs w:val="20"/>
              </w:rPr>
              <w:t>0.150</w:t>
            </w:r>
          </w:p>
        </w:tc>
        <w:tc>
          <w:tcPr>
            <w:tcW w:w="864" w:type="pct"/>
            <w:vAlign w:val="center"/>
            <w:hideMark/>
          </w:tcPr>
          <w:p w14:paraId="388FBA06" w14:textId="77777777" w:rsidR="00A20839" w:rsidRPr="00434008" w:rsidRDefault="00A20839" w:rsidP="00A20839">
            <w:pPr>
              <w:rPr>
                <w:rFonts w:ascii="Arial" w:hAnsi="Arial" w:cs="Arial"/>
                <w:sz w:val="20"/>
                <w:szCs w:val="20"/>
              </w:rPr>
            </w:pPr>
            <w:r w:rsidRPr="00434008">
              <w:rPr>
                <w:rFonts w:ascii="Arial" w:hAnsi="Arial" w:cs="Arial"/>
                <w:sz w:val="20"/>
                <w:szCs w:val="20"/>
              </w:rPr>
              <w:t>0.018</w:t>
            </w:r>
          </w:p>
        </w:tc>
        <w:tc>
          <w:tcPr>
            <w:tcW w:w="387" w:type="pct"/>
            <w:vAlign w:val="center"/>
            <w:hideMark/>
          </w:tcPr>
          <w:p w14:paraId="7CE05CF4" w14:textId="77777777" w:rsidR="00A20839" w:rsidRPr="00434008" w:rsidRDefault="00A20839" w:rsidP="00A20839">
            <w:pPr>
              <w:rPr>
                <w:rFonts w:ascii="Arial" w:hAnsi="Arial" w:cs="Arial"/>
                <w:sz w:val="20"/>
                <w:szCs w:val="20"/>
              </w:rPr>
            </w:pPr>
            <w:r w:rsidRPr="00434008">
              <w:rPr>
                <w:rFonts w:ascii="Arial" w:hAnsi="Arial" w:cs="Arial"/>
                <w:sz w:val="20"/>
                <w:szCs w:val="20"/>
              </w:rPr>
              <w:t>8.223</w:t>
            </w:r>
          </w:p>
        </w:tc>
        <w:tc>
          <w:tcPr>
            <w:tcW w:w="428" w:type="pct"/>
            <w:vAlign w:val="center"/>
            <w:hideMark/>
          </w:tcPr>
          <w:p w14:paraId="465B089B" w14:textId="77777777" w:rsidR="00A20839" w:rsidRPr="00434008" w:rsidRDefault="00A20839" w:rsidP="00A20839">
            <w:pPr>
              <w:rPr>
                <w:rFonts w:ascii="Arial" w:hAnsi="Arial" w:cs="Arial"/>
                <w:sz w:val="20"/>
                <w:szCs w:val="20"/>
              </w:rPr>
            </w:pPr>
            <w:r w:rsidRPr="00434008">
              <w:rPr>
                <w:rFonts w:ascii="Arial" w:hAnsi="Arial" w:cs="Arial"/>
                <w:sz w:val="20"/>
                <w:szCs w:val="20"/>
              </w:rPr>
              <w:t>&lt;0.001</w:t>
            </w:r>
          </w:p>
        </w:tc>
        <w:tc>
          <w:tcPr>
            <w:tcW w:w="22" w:type="pct"/>
            <w:vAlign w:val="center"/>
          </w:tcPr>
          <w:p w14:paraId="2D6607D6" w14:textId="77777777" w:rsidR="00A20839" w:rsidRPr="00434008" w:rsidRDefault="00A20839" w:rsidP="00A20839">
            <w:pPr>
              <w:rPr>
                <w:rFonts w:ascii="Arial" w:hAnsi="Arial" w:cs="Arial"/>
                <w:sz w:val="20"/>
                <w:szCs w:val="20"/>
              </w:rPr>
            </w:pPr>
          </w:p>
        </w:tc>
        <w:tc>
          <w:tcPr>
            <w:tcW w:w="763" w:type="pct"/>
            <w:vAlign w:val="center"/>
            <w:hideMark/>
          </w:tcPr>
          <w:p w14:paraId="3E477B4D" w14:textId="77777777" w:rsidR="00A20839" w:rsidRPr="00434008" w:rsidRDefault="00A20839" w:rsidP="00A20839">
            <w:pPr>
              <w:rPr>
                <w:rFonts w:ascii="Arial" w:hAnsi="Arial" w:cs="Arial"/>
                <w:sz w:val="20"/>
                <w:szCs w:val="20"/>
              </w:rPr>
            </w:pPr>
            <w:r w:rsidRPr="00434008">
              <w:rPr>
                <w:rFonts w:ascii="Arial" w:hAnsi="Arial" w:cs="Arial"/>
                <w:sz w:val="20"/>
                <w:szCs w:val="20"/>
              </w:rPr>
              <w:t>Significativo</w:t>
            </w:r>
          </w:p>
        </w:tc>
      </w:tr>
    </w:tbl>
    <w:p w14:paraId="48AEEA70" w14:textId="2BB532E8" w:rsidR="00434008" w:rsidRPr="00434008" w:rsidRDefault="00434008" w:rsidP="00434008">
      <w:pPr>
        <w:rPr>
          <w:rFonts w:ascii="Arial" w:hAnsi="Arial" w:cs="Arial"/>
          <w:sz w:val="24"/>
          <w:szCs w:val="24"/>
        </w:rPr>
      </w:pPr>
      <w:r w:rsidRPr="00434008">
        <w:rPr>
          <w:rFonts w:ascii="Arial" w:hAnsi="Arial" w:cs="Arial"/>
          <w:sz w:val="24"/>
          <w:szCs w:val="24"/>
        </w:rPr>
        <w:t>Se desarrolló un modelo de regresión lineal para identificar los factores que influyen en la disponibilidad de servicios de salud. Se observa que un aumento en la densidad de sedes por km² y en la media de complejidad por 100,000 habitantes está asociado con una mayor disponibilidad de servicios. Por el contrario, un incremento en los servicios hospitalarios por 100,000 habitantes se relaciona negativamente, lo que podría reflejar una concentración de servicios en áreas específicas.</w:t>
      </w:r>
    </w:p>
    <w:p w14:paraId="628EB2DD" w14:textId="77777777" w:rsidR="00A20839" w:rsidRDefault="00434008" w:rsidP="00434008">
      <w:pPr>
        <w:rPr>
          <w:rFonts w:ascii="Arial" w:hAnsi="Arial" w:cs="Arial"/>
          <w:b/>
          <w:bCs/>
          <w:sz w:val="24"/>
          <w:szCs w:val="24"/>
        </w:rPr>
      </w:pPr>
      <w:r>
        <w:rPr>
          <w:rFonts w:ascii="Arial" w:hAnsi="Arial" w:cs="Arial"/>
          <w:b/>
          <w:bCs/>
          <w:sz w:val="24"/>
          <w:szCs w:val="24"/>
        </w:rPr>
        <w:t>Evaluación del modelo</w:t>
      </w:r>
    </w:p>
    <w:p w14:paraId="32A4C244" w14:textId="5A8C2ED1" w:rsidR="00434008" w:rsidRPr="00434008" w:rsidRDefault="00A20839" w:rsidP="00434008">
      <w:pPr>
        <w:rPr>
          <w:rFonts w:ascii="Arial" w:hAnsi="Arial" w:cs="Arial"/>
          <w:b/>
          <w:bCs/>
          <w:sz w:val="20"/>
          <w:szCs w:val="20"/>
        </w:rPr>
      </w:pPr>
      <w:r w:rsidRPr="00434008">
        <w:rPr>
          <w:rFonts w:ascii="Arial" w:hAnsi="Arial" w:cs="Arial"/>
          <w:b/>
          <w:bCs/>
          <w:color w:val="4472C4" w:themeColor="accent1"/>
          <w:sz w:val="20"/>
          <w:szCs w:val="20"/>
        </w:rPr>
        <w:t>Visualización 4: Predicción y Tendencia del Modelo</w:t>
      </w:r>
      <w:r w:rsidRPr="00A20839">
        <w:rPr>
          <w:rFonts w:ascii="Arial" w:hAnsi="Arial" w:cs="Arial"/>
          <w:b/>
          <w:bCs/>
          <w:sz w:val="20"/>
          <w:szCs w:val="20"/>
        </w:rPr>
        <w:t xml:space="preserve"> </w:t>
      </w:r>
      <w:r w:rsidR="00434008" w:rsidRPr="00A20839">
        <w:rPr>
          <w:rFonts w:ascii="Arial" w:hAnsi="Arial" w:cs="Arial"/>
          <w:b/>
          <w:bCs/>
          <w:sz w:val="20"/>
          <w:szCs w:val="20"/>
        </w:rPr>
        <w:drawing>
          <wp:anchor distT="0" distB="0" distL="114300" distR="114300" simplePos="0" relativeHeight="251659264" behindDoc="0" locked="0" layoutInCell="1" allowOverlap="1" wp14:anchorId="6FAF725D" wp14:editId="38C35CC3">
            <wp:simplePos x="0" y="0"/>
            <wp:positionH relativeFrom="margin">
              <wp:posOffset>0</wp:posOffset>
            </wp:positionH>
            <wp:positionV relativeFrom="paragraph">
              <wp:posOffset>297180</wp:posOffset>
            </wp:positionV>
            <wp:extent cx="4365625" cy="2545080"/>
            <wp:effectExtent l="0" t="0" r="0" b="7620"/>
            <wp:wrapSquare wrapText="bothSides"/>
            <wp:docPr id="342412775"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12775" name="Imagen 1" descr="Gráfico, Gráfico de dispersión&#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5625" cy="254508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gridCol w:w="1077"/>
      </w:tblGrid>
      <w:tr w:rsidR="00434008" w:rsidRPr="00434008" w14:paraId="38DCA052" w14:textId="77777777" w:rsidTr="00434008">
        <w:trPr>
          <w:tblHeader/>
          <w:tblCellSpacing w:w="15" w:type="dxa"/>
        </w:trPr>
        <w:tc>
          <w:tcPr>
            <w:tcW w:w="0" w:type="auto"/>
            <w:vAlign w:val="center"/>
            <w:hideMark/>
          </w:tcPr>
          <w:p w14:paraId="280AFE0F" w14:textId="77777777" w:rsidR="00434008" w:rsidRPr="00434008" w:rsidRDefault="00434008" w:rsidP="00434008">
            <w:pPr>
              <w:rPr>
                <w:rFonts w:ascii="Arial" w:hAnsi="Arial" w:cs="Arial"/>
                <w:b/>
                <w:bCs/>
                <w:sz w:val="24"/>
                <w:szCs w:val="24"/>
              </w:rPr>
            </w:pPr>
            <w:r w:rsidRPr="00434008">
              <w:rPr>
                <w:rFonts w:ascii="Arial" w:hAnsi="Arial" w:cs="Arial"/>
                <w:b/>
                <w:bCs/>
                <w:sz w:val="24"/>
                <w:szCs w:val="24"/>
              </w:rPr>
              <w:t>Métrica</w:t>
            </w:r>
          </w:p>
        </w:tc>
        <w:tc>
          <w:tcPr>
            <w:tcW w:w="0" w:type="auto"/>
            <w:vAlign w:val="center"/>
            <w:hideMark/>
          </w:tcPr>
          <w:p w14:paraId="48C140B8" w14:textId="77777777" w:rsidR="00434008" w:rsidRPr="00434008" w:rsidRDefault="00434008" w:rsidP="00434008">
            <w:pPr>
              <w:rPr>
                <w:rFonts w:ascii="Arial" w:hAnsi="Arial" w:cs="Arial"/>
                <w:b/>
                <w:bCs/>
                <w:sz w:val="24"/>
                <w:szCs w:val="24"/>
              </w:rPr>
            </w:pPr>
            <w:r w:rsidRPr="00434008">
              <w:rPr>
                <w:rFonts w:ascii="Arial" w:hAnsi="Arial" w:cs="Arial"/>
                <w:b/>
                <w:bCs/>
                <w:sz w:val="24"/>
                <w:szCs w:val="24"/>
              </w:rPr>
              <w:t>Valor</w:t>
            </w:r>
          </w:p>
        </w:tc>
      </w:tr>
      <w:tr w:rsidR="00434008" w:rsidRPr="00434008" w14:paraId="4172A190" w14:textId="77777777" w:rsidTr="00434008">
        <w:trPr>
          <w:tblCellSpacing w:w="15" w:type="dxa"/>
        </w:trPr>
        <w:tc>
          <w:tcPr>
            <w:tcW w:w="0" w:type="auto"/>
            <w:vAlign w:val="center"/>
            <w:hideMark/>
          </w:tcPr>
          <w:p w14:paraId="02FF3C97" w14:textId="77777777" w:rsidR="00434008" w:rsidRPr="00434008" w:rsidRDefault="00434008" w:rsidP="00434008">
            <w:pPr>
              <w:rPr>
                <w:rFonts w:ascii="Arial" w:hAnsi="Arial" w:cs="Arial"/>
                <w:sz w:val="24"/>
                <w:szCs w:val="24"/>
              </w:rPr>
            </w:pPr>
            <w:r w:rsidRPr="00434008">
              <w:rPr>
                <w:rFonts w:ascii="Arial" w:hAnsi="Arial" w:cs="Arial"/>
                <w:sz w:val="24"/>
                <w:szCs w:val="24"/>
              </w:rPr>
              <w:t>R²</w:t>
            </w:r>
          </w:p>
        </w:tc>
        <w:tc>
          <w:tcPr>
            <w:tcW w:w="0" w:type="auto"/>
            <w:vAlign w:val="center"/>
            <w:hideMark/>
          </w:tcPr>
          <w:p w14:paraId="14C41552" w14:textId="77777777" w:rsidR="00434008" w:rsidRPr="00434008" w:rsidRDefault="00434008" w:rsidP="00434008">
            <w:pPr>
              <w:rPr>
                <w:rFonts w:ascii="Arial" w:hAnsi="Arial" w:cs="Arial"/>
                <w:sz w:val="24"/>
                <w:szCs w:val="24"/>
              </w:rPr>
            </w:pPr>
            <w:r w:rsidRPr="00434008">
              <w:rPr>
                <w:rFonts w:ascii="Arial" w:hAnsi="Arial" w:cs="Arial"/>
                <w:sz w:val="24"/>
                <w:szCs w:val="24"/>
              </w:rPr>
              <w:t>0.524</w:t>
            </w:r>
          </w:p>
        </w:tc>
      </w:tr>
      <w:tr w:rsidR="00434008" w:rsidRPr="00434008" w14:paraId="1AAA3849" w14:textId="77777777" w:rsidTr="00434008">
        <w:trPr>
          <w:tblCellSpacing w:w="15" w:type="dxa"/>
        </w:trPr>
        <w:tc>
          <w:tcPr>
            <w:tcW w:w="0" w:type="auto"/>
            <w:vAlign w:val="center"/>
            <w:hideMark/>
          </w:tcPr>
          <w:p w14:paraId="65ACF9B0" w14:textId="77777777" w:rsidR="00434008" w:rsidRPr="00434008" w:rsidRDefault="00434008" w:rsidP="00434008">
            <w:pPr>
              <w:rPr>
                <w:rFonts w:ascii="Arial" w:hAnsi="Arial" w:cs="Arial"/>
                <w:sz w:val="24"/>
                <w:szCs w:val="24"/>
              </w:rPr>
            </w:pPr>
            <w:r w:rsidRPr="00434008">
              <w:rPr>
                <w:rFonts w:ascii="Arial" w:hAnsi="Arial" w:cs="Arial"/>
                <w:sz w:val="24"/>
                <w:szCs w:val="24"/>
              </w:rPr>
              <w:t>R² Ajustado</w:t>
            </w:r>
          </w:p>
        </w:tc>
        <w:tc>
          <w:tcPr>
            <w:tcW w:w="0" w:type="auto"/>
            <w:vAlign w:val="center"/>
            <w:hideMark/>
          </w:tcPr>
          <w:p w14:paraId="37F3AFC0" w14:textId="77777777" w:rsidR="00434008" w:rsidRPr="00434008" w:rsidRDefault="00434008" w:rsidP="00434008">
            <w:pPr>
              <w:rPr>
                <w:rFonts w:ascii="Arial" w:hAnsi="Arial" w:cs="Arial"/>
                <w:sz w:val="24"/>
                <w:szCs w:val="24"/>
              </w:rPr>
            </w:pPr>
            <w:r w:rsidRPr="00434008">
              <w:rPr>
                <w:rFonts w:ascii="Arial" w:hAnsi="Arial" w:cs="Arial"/>
                <w:sz w:val="24"/>
                <w:szCs w:val="24"/>
              </w:rPr>
              <w:t>0.522</w:t>
            </w:r>
          </w:p>
        </w:tc>
      </w:tr>
      <w:tr w:rsidR="00434008" w:rsidRPr="00434008" w14:paraId="1422FFF6" w14:textId="77777777" w:rsidTr="00434008">
        <w:trPr>
          <w:tblCellSpacing w:w="15" w:type="dxa"/>
        </w:trPr>
        <w:tc>
          <w:tcPr>
            <w:tcW w:w="0" w:type="auto"/>
            <w:vAlign w:val="center"/>
            <w:hideMark/>
          </w:tcPr>
          <w:p w14:paraId="0F3E12B4" w14:textId="77777777" w:rsidR="00434008" w:rsidRPr="00434008" w:rsidRDefault="00434008" w:rsidP="00434008">
            <w:pPr>
              <w:rPr>
                <w:rFonts w:ascii="Arial" w:hAnsi="Arial" w:cs="Arial"/>
                <w:sz w:val="24"/>
                <w:szCs w:val="24"/>
              </w:rPr>
            </w:pPr>
            <w:proofErr w:type="spellStart"/>
            <w:r w:rsidRPr="00434008">
              <w:rPr>
                <w:rFonts w:ascii="Arial" w:hAnsi="Arial" w:cs="Arial"/>
                <w:sz w:val="24"/>
                <w:szCs w:val="24"/>
              </w:rPr>
              <w:t>AIC</w:t>
            </w:r>
            <w:proofErr w:type="spellEnd"/>
          </w:p>
        </w:tc>
        <w:tc>
          <w:tcPr>
            <w:tcW w:w="0" w:type="auto"/>
            <w:vAlign w:val="center"/>
            <w:hideMark/>
          </w:tcPr>
          <w:p w14:paraId="5B60301F" w14:textId="77777777" w:rsidR="00434008" w:rsidRPr="00434008" w:rsidRDefault="00434008" w:rsidP="00434008">
            <w:pPr>
              <w:rPr>
                <w:rFonts w:ascii="Arial" w:hAnsi="Arial" w:cs="Arial"/>
                <w:sz w:val="24"/>
                <w:szCs w:val="24"/>
              </w:rPr>
            </w:pPr>
            <w:r w:rsidRPr="00434008">
              <w:rPr>
                <w:rFonts w:ascii="Arial" w:hAnsi="Arial" w:cs="Arial"/>
                <w:sz w:val="24"/>
                <w:szCs w:val="24"/>
              </w:rPr>
              <w:t>7554.195</w:t>
            </w:r>
          </w:p>
        </w:tc>
      </w:tr>
      <w:tr w:rsidR="00434008" w:rsidRPr="00434008" w14:paraId="3628B4BB" w14:textId="77777777" w:rsidTr="00434008">
        <w:trPr>
          <w:tblCellSpacing w:w="15" w:type="dxa"/>
        </w:trPr>
        <w:tc>
          <w:tcPr>
            <w:tcW w:w="0" w:type="auto"/>
            <w:vAlign w:val="center"/>
            <w:hideMark/>
          </w:tcPr>
          <w:p w14:paraId="1DC24D05" w14:textId="77777777" w:rsidR="00434008" w:rsidRPr="00434008" w:rsidRDefault="00434008" w:rsidP="00434008">
            <w:pPr>
              <w:rPr>
                <w:rFonts w:ascii="Arial" w:hAnsi="Arial" w:cs="Arial"/>
                <w:sz w:val="24"/>
                <w:szCs w:val="24"/>
              </w:rPr>
            </w:pPr>
            <w:r w:rsidRPr="00434008">
              <w:rPr>
                <w:rFonts w:ascii="Arial" w:hAnsi="Arial" w:cs="Arial"/>
                <w:sz w:val="24"/>
                <w:szCs w:val="24"/>
              </w:rPr>
              <w:t>BIC</w:t>
            </w:r>
          </w:p>
        </w:tc>
        <w:tc>
          <w:tcPr>
            <w:tcW w:w="0" w:type="auto"/>
            <w:vAlign w:val="center"/>
            <w:hideMark/>
          </w:tcPr>
          <w:p w14:paraId="42118BB0" w14:textId="77777777" w:rsidR="00434008" w:rsidRPr="00434008" w:rsidRDefault="00434008" w:rsidP="00434008">
            <w:pPr>
              <w:rPr>
                <w:rFonts w:ascii="Arial" w:hAnsi="Arial" w:cs="Arial"/>
                <w:sz w:val="24"/>
                <w:szCs w:val="24"/>
              </w:rPr>
            </w:pPr>
            <w:r w:rsidRPr="00434008">
              <w:rPr>
                <w:rFonts w:ascii="Arial" w:hAnsi="Arial" w:cs="Arial"/>
                <w:sz w:val="24"/>
                <w:szCs w:val="24"/>
              </w:rPr>
              <w:t>7577.549</w:t>
            </w:r>
          </w:p>
        </w:tc>
      </w:tr>
      <w:tr w:rsidR="00434008" w:rsidRPr="00434008" w14:paraId="2340648A" w14:textId="77777777" w:rsidTr="00434008">
        <w:trPr>
          <w:tblCellSpacing w:w="15" w:type="dxa"/>
        </w:trPr>
        <w:tc>
          <w:tcPr>
            <w:tcW w:w="0" w:type="auto"/>
            <w:vAlign w:val="center"/>
            <w:hideMark/>
          </w:tcPr>
          <w:p w14:paraId="52AA42F3" w14:textId="77777777" w:rsidR="00434008" w:rsidRPr="00434008" w:rsidRDefault="00434008" w:rsidP="00434008">
            <w:pPr>
              <w:rPr>
                <w:rFonts w:ascii="Arial" w:hAnsi="Arial" w:cs="Arial"/>
                <w:sz w:val="24"/>
                <w:szCs w:val="24"/>
              </w:rPr>
            </w:pPr>
            <w:r w:rsidRPr="00434008">
              <w:rPr>
                <w:rFonts w:ascii="Arial" w:hAnsi="Arial" w:cs="Arial"/>
                <w:sz w:val="24"/>
                <w:szCs w:val="24"/>
              </w:rPr>
              <w:t>Estadístico F</w:t>
            </w:r>
          </w:p>
        </w:tc>
        <w:tc>
          <w:tcPr>
            <w:tcW w:w="0" w:type="auto"/>
            <w:vAlign w:val="center"/>
            <w:hideMark/>
          </w:tcPr>
          <w:p w14:paraId="68D73606" w14:textId="77777777" w:rsidR="00434008" w:rsidRPr="00434008" w:rsidRDefault="00434008" w:rsidP="00434008">
            <w:pPr>
              <w:rPr>
                <w:rFonts w:ascii="Arial" w:hAnsi="Arial" w:cs="Arial"/>
                <w:sz w:val="24"/>
                <w:szCs w:val="24"/>
              </w:rPr>
            </w:pPr>
            <w:r w:rsidRPr="00434008">
              <w:rPr>
                <w:rFonts w:ascii="Arial" w:hAnsi="Arial" w:cs="Arial"/>
                <w:sz w:val="24"/>
                <w:szCs w:val="24"/>
              </w:rPr>
              <w:t>216.093</w:t>
            </w:r>
          </w:p>
        </w:tc>
      </w:tr>
      <w:tr w:rsidR="00434008" w:rsidRPr="00434008" w14:paraId="28F13B57" w14:textId="77777777" w:rsidTr="00434008">
        <w:trPr>
          <w:tblCellSpacing w:w="15" w:type="dxa"/>
        </w:trPr>
        <w:tc>
          <w:tcPr>
            <w:tcW w:w="0" w:type="auto"/>
            <w:vAlign w:val="center"/>
            <w:hideMark/>
          </w:tcPr>
          <w:p w14:paraId="785DCC3C" w14:textId="77777777" w:rsidR="00434008" w:rsidRPr="00434008" w:rsidRDefault="00434008" w:rsidP="00434008">
            <w:pPr>
              <w:rPr>
                <w:rFonts w:ascii="Arial" w:hAnsi="Arial" w:cs="Arial"/>
                <w:sz w:val="24"/>
                <w:szCs w:val="24"/>
              </w:rPr>
            </w:pPr>
            <w:r w:rsidRPr="00434008">
              <w:rPr>
                <w:rFonts w:ascii="Arial" w:hAnsi="Arial" w:cs="Arial"/>
                <w:sz w:val="24"/>
                <w:szCs w:val="24"/>
              </w:rPr>
              <w:t>Probabilidad (F)</w:t>
            </w:r>
          </w:p>
        </w:tc>
        <w:tc>
          <w:tcPr>
            <w:tcW w:w="0" w:type="auto"/>
            <w:vAlign w:val="center"/>
            <w:hideMark/>
          </w:tcPr>
          <w:p w14:paraId="41710C4A" w14:textId="77777777" w:rsidR="00434008" w:rsidRPr="00434008" w:rsidRDefault="00434008" w:rsidP="00434008">
            <w:pPr>
              <w:rPr>
                <w:rFonts w:ascii="Arial" w:hAnsi="Arial" w:cs="Arial"/>
                <w:sz w:val="24"/>
                <w:szCs w:val="24"/>
              </w:rPr>
            </w:pPr>
            <w:r w:rsidRPr="00434008">
              <w:rPr>
                <w:rFonts w:ascii="Arial" w:hAnsi="Arial" w:cs="Arial"/>
                <w:sz w:val="24"/>
                <w:szCs w:val="24"/>
              </w:rPr>
              <w:t>&lt;0.001</w:t>
            </w:r>
          </w:p>
        </w:tc>
      </w:tr>
    </w:tbl>
    <w:p w14:paraId="0A32F757" w14:textId="77777777" w:rsidR="00434008" w:rsidRDefault="00434008" w:rsidP="00434008">
      <w:pPr>
        <w:rPr>
          <w:rFonts w:ascii="Arial" w:hAnsi="Arial" w:cs="Arial"/>
          <w:sz w:val="24"/>
          <w:szCs w:val="24"/>
        </w:rPr>
      </w:pPr>
    </w:p>
    <w:p w14:paraId="1226942D" w14:textId="616EB7C9" w:rsidR="00434008" w:rsidRPr="00434008" w:rsidRDefault="00434008" w:rsidP="00434008">
      <w:pPr>
        <w:rPr>
          <w:rFonts w:ascii="Arial" w:hAnsi="Arial" w:cs="Arial"/>
          <w:sz w:val="24"/>
          <w:szCs w:val="24"/>
        </w:rPr>
      </w:pPr>
      <w:r w:rsidRPr="00434008">
        <w:rPr>
          <w:rFonts w:ascii="Arial" w:hAnsi="Arial" w:cs="Arial"/>
          <w:sz w:val="24"/>
          <w:szCs w:val="24"/>
        </w:rPr>
        <w:t>Estas métricas indican que el modelo tiene una capacidad explicativa moderada, siendo estadísticamente significativo.</w:t>
      </w:r>
      <w:r>
        <w:rPr>
          <w:rFonts w:ascii="Arial" w:hAnsi="Arial" w:cs="Arial"/>
          <w:sz w:val="24"/>
          <w:szCs w:val="24"/>
        </w:rPr>
        <w:t xml:space="preserve"> La variabilidad de las variables exógenas explica cerca del 52,4% de la variabilidad de la densidad de los prestadores de salud a nivel municipal. Y se observa relación positiva en la distribución de las predicciones del modelo con los valores reales de los prestadores por cada 100mil habitantes.</w:t>
      </w:r>
    </w:p>
    <w:p w14:paraId="7708B2A0" w14:textId="4F95431D" w:rsidR="00434008" w:rsidRPr="00434008" w:rsidRDefault="00A20839" w:rsidP="00434008">
      <w:pPr>
        <w:rPr>
          <w:rFonts w:ascii="Arial" w:hAnsi="Arial" w:cs="Arial"/>
          <w:b/>
          <w:bCs/>
          <w:sz w:val="24"/>
          <w:szCs w:val="24"/>
        </w:rPr>
      </w:pPr>
      <w:r>
        <w:rPr>
          <w:rFonts w:ascii="Arial" w:hAnsi="Arial" w:cs="Arial"/>
          <w:b/>
          <w:bCs/>
          <w:sz w:val="24"/>
          <w:szCs w:val="24"/>
        </w:rPr>
        <w:t>C</w:t>
      </w:r>
      <w:r w:rsidR="00434008" w:rsidRPr="00434008">
        <w:rPr>
          <w:rFonts w:ascii="Arial" w:hAnsi="Arial" w:cs="Arial"/>
          <w:b/>
          <w:bCs/>
          <w:sz w:val="24"/>
          <w:szCs w:val="24"/>
        </w:rPr>
        <w:t>onclusiones</w:t>
      </w:r>
    </w:p>
    <w:p w14:paraId="558CF036" w14:textId="4230A06F" w:rsidR="00000726" w:rsidRPr="00000726" w:rsidRDefault="00434008">
      <w:pPr>
        <w:rPr>
          <w:rFonts w:ascii="Arial" w:hAnsi="Arial" w:cs="Arial"/>
          <w:sz w:val="24"/>
          <w:szCs w:val="24"/>
        </w:rPr>
      </w:pPr>
      <w:r w:rsidRPr="00434008">
        <w:rPr>
          <w:rFonts w:ascii="Arial" w:hAnsi="Arial" w:cs="Arial"/>
          <w:sz w:val="24"/>
          <w:szCs w:val="24"/>
        </w:rPr>
        <w:t>El análisis revela disparidades significativas en la distribución de servicios de salud en Colombia. Departamentos con alta densidad poblacional y desarrollo urbano, como Bogotá D.C. y Antioquia, cuentan con una mayor concentración de sedes y modalidades de atención. En contraste, regiones como Guainía y Vaupés presentan una oferta limitada, lo que podría afectar el acceso equitativo a servicios de salud. El modelo estadístico desarrollado identifica factores clave que influyen en la disponibilidad de servicios, proporcionando una herramienta útil para la planificación y mejora del sistema de salud en el país</w:t>
      </w:r>
      <w:r w:rsidR="00A20839">
        <w:rPr>
          <w:rFonts w:ascii="Arial" w:hAnsi="Arial" w:cs="Arial"/>
          <w:sz w:val="24"/>
          <w:szCs w:val="24"/>
        </w:rPr>
        <w:t>.</w:t>
      </w:r>
      <w:r w:rsidR="00000726">
        <w:rPr>
          <w:rFonts w:ascii="Arial" w:hAnsi="Arial" w:cs="Arial"/>
          <w:sz w:val="24"/>
          <w:szCs w:val="24"/>
        </w:rPr>
        <w:t xml:space="preserve"> </w:t>
      </w:r>
    </w:p>
    <w:sectPr w:rsidR="00000726" w:rsidRPr="00000726" w:rsidSect="00621DB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SansMTStd-Book">
    <w:altName w:val="Gill Sans MT"/>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76B97"/>
    <w:multiLevelType w:val="multilevel"/>
    <w:tmpl w:val="99EC8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55CD1"/>
    <w:multiLevelType w:val="multilevel"/>
    <w:tmpl w:val="F84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77CB"/>
    <w:multiLevelType w:val="multilevel"/>
    <w:tmpl w:val="E834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C3E8E"/>
    <w:multiLevelType w:val="multilevel"/>
    <w:tmpl w:val="2C68E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E66ED"/>
    <w:multiLevelType w:val="multilevel"/>
    <w:tmpl w:val="ACCA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50A15"/>
    <w:multiLevelType w:val="multilevel"/>
    <w:tmpl w:val="0CB6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E403A7"/>
    <w:multiLevelType w:val="multilevel"/>
    <w:tmpl w:val="B650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7663C"/>
    <w:multiLevelType w:val="multilevel"/>
    <w:tmpl w:val="8B9C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718930">
    <w:abstractNumId w:val="4"/>
  </w:num>
  <w:num w:numId="2" w16cid:durableId="1492329142">
    <w:abstractNumId w:val="7"/>
  </w:num>
  <w:num w:numId="3" w16cid:durableId="336465386">
    <w:abstractNumId w:val="6"/>
  </w:num>
  <w:num w:numId="4" w16cid:durableId="2092043576">
    <w:abstractNumId w:val="2"/>
  </w:num>
  <w:num w:numId="5" w16cid:durableId="1284726059">
    <w:abstractNumId w:val="3"/>
  </w:num>
  <w:num w:numId="6" w16cid:durableId="668018106">
    <w:abstractNumId w:val="0"/>
  </w:num>
  <w:num w:numId="7" w16cid:durableId="89545255">
    <w:abstractNumId w:val="1"/>
  </w:num>
  <w:num w:numId="8" w16cid:durableId="1595750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B7"/>
    <w:rsid w:val="00000726"/>
    <w:rsid w:val="00040D2B"/>
    <w:rsid w:val="00081E51"/>
    <w:rsid w:val="001A367C"/>
    <w:rsid w:val="003E6377"/>
    <w:rsid w:val="00434008"/>
    <w:rsid w:val="00480341"/>
    <w:rsid w:val="00512B17"/>
    <w:rsid w:val="005F58EB"/>
    <w:rsid w:val="00621DB7"/>
    <w:rsid w:val="007C7DED"/>
    <w:rsid w:val="007F62CF"/>
    <w:rsid w:val="00837E63"/>
    <w:rsid w:val="00912979"/>
    <w:rsid w:val="009C1620"/>
    <w:rsid w:val="00A20839"/>
    <w:rsid w:val="00B37ABB"/>
    <w:rsid w:val="00B813C4"/>
    <w:rsid w:val="00BA656A"/>
    <w:rsid w:val="00C91F32"/>
    <w:rsid w:val="00CA118C"/>
    <w:rsid w:val="00EE59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C3B9"/>
  <w15:chartTrackingRefBased/>
  <w15:docId w15:val="{76B93D68-B9A4-4386-B4E4-65A3E362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377"/>
  </w:style>
  <w:style w:type="paragraph" w:styleId="Ttulo1">
    <w:name w:val="heading 1"/>
    <w:basedOn w:val="Normal"/>
    <w:next w:val="Normal"/>
    <w:link w:val="Ttulo1Car"/>
    <w:uiPriority w:val="9"/>
    <w:qFormat/>
    <w:rsid w:val="00621D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F5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Ttulo2"/>
    <w:next w:val="Normal"/>
    <w:link w:val="Ttulo3Car"/>
    <w:uiPriority w:val="2"/>
    <w:qFormat/>
    <w:rsid w:val="005F58EB"/>
    <w:pPr>
      <w:keepNext w:val="0"/>
      <w:keepLines w:val="0"/>
      <w:spacing w:before="360" w:after="120" w:line="280" w:lineRule="atLeast"/>
      <w:outlineLvl w:val="2"/>
    </w:pPr>
    <w:rPr>
      <w:rFonts w:ascii="Gill Sans MT" w:eastAsiaTheme="minorHAnsi" w:hAnsi="Gill Sans MT" w:cs="GillSansMTStd-Book"/>
      <w:caps/>
      <w:color w:val="C2113A"/>
      <w:sz w:val="20"/>
      <w:szCs w:val="20"/>
    </w:rPr>
  </w:style>
  <w:style w:type="paragraph" w:styleId="Ttulo4">
    <w:name w:val="heading 4"/>
    <w:basedOn w:val="Normal"/>
    <w:next w:val="Normal"/>
    <w:link w:val="Ttulo4Car"/>
    <w:uiPriority w:val="9"/>
    <w:semiHidden/>
    <w:unhideWhenUsed/>
    <w:qFormat/>
    <w:rsid w:val="00621DB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1DB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1D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1D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1D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1D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2"/>
    <w:rsid w:val="005F58EB"/>
    <w:rPr>
      <w:rFonts w:ascii="Gill Sans MT" w:hAnsi="Gill Sans MT" w:cs="GillSansMTStd-Book"/>
      <w:caps/>
      <w:color w:val="C2113A"/>
      <w:sz w:val="20"/>
      <w:szCs w:val="20"/>
    </w:rPr>
  </w:style>
  <w:style w:type="character" w:customStyle="1" w:styleId="Ttulo2Car">
    <w:name w:val="Título 2 Car"/>
    <w:basedOn w:val="Fuentedeprrafopredeter"/>
    <w:link w:val="Ttulo2"/>
    <w:uiPriority w:val="9"/>
    <w:semiHidden/>
    <w:rsid w:val="005F58EB"/>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21DB7"/>
    <w:rPr>
      <w:rFonts w:asciiTheme="majorHAnsi" w:eastAsiaTheme="majorEastAsia" w:hAnsiTheme="majorHAnsi" w:cstheme="majorBidi"/>
      <w:color w:val="2F5496" w:themeColor="accent1" w:themeShade="BF"/>
      <w:sz w:val="40"/>
      <w:szCs w:val="40"/>
    </w:rPr>
  </w:style>
  <w:style w:type="character" w:customStyle="1" w:styleId="Ttulo4Car">
    <w:name w:val="Título 4 Car"/>
    <w:basedOn w:val="Fuentedeprrafopredeter"/>
    <w:link w:val="Ttulo4"/>
    <w:uiPriority w:val="9"/>
    <w:semiHidden/>
    <w:rsid w:val="00621DB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1DB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1D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1D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1D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1DB7"/>
    <w:rPr>
      <w:rFonts w:eastAsiaTheme="majorEastAsia" w:cstheme="majorBidi"/>
      <w:color w:val="272727" w:themeColor="text1" w:themeTint="D8"/>
    </w:rPr>
  </w:style>
  <w:style w:type="paragraph" w:styleId="Ttulo">
    <w:name w:val="Title"/>
    <w:basedOn w:val="Normal"/>
    <w:next w:val="Normal"/>
    <w:link w:val="TtuloCar"/>
    <w:uiPriority w:val="10"/>
    <w:qFormat/>
    <w:rsid w:val="00621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1D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1D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1D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1DB7"/>
    <w:pPr>
      <w:spacing w:before="160"/>
      <w:jc w:val="center"/>
    </w:pPr>
    <w:rPr>
      <w:i/>
      <w:iCs/>
      <w:color w:val="404040" w:themeColor="text1" w:themeTint="BF"/>
    </w:rPr>
  </w:style>
  <w:style w:type="character" w:customStyle="1" w:styleId="CitaCar">
    <w:name w:val="Cita Car"/>
    <w:basedOn w:val="Fuentedeprrafopredeter"/>
    <w:link w:val="Cita"/>
    <w:uiPriority w:val="29"/>
    <w:rsid w:val="00621DB7"/>
    <w:rPr>
      <w:i/>
      <w:iCs/>
      <w:color w:val="404040" w:themeColor="text1" w:themeTint="BF"/>
    </w:rPr>
  </w:style>
  <w:style w:type="paragraph" w:styleId="Prrafodelista">
    <w:name w:val="List Paragraph"/>
    <w:basedOn w:val="Normal"/>
    <w:uiPriority w:val="34"/>
    <w:qFormat/>
    <w:rsid w:val="00621DB7"/>
    <w:pPr>
      <w:ind w:left="720"/>
      <w:contextualSpacing/>
    </w:pPr>
  </w:style>
  <w:style w:type="character" w:styleId="nfasisintenso">
    <w:name w:val="Intense Emphasis"/>
    <w:basedOn w:val="Fuentedeprrafopredeter"/>
    <w:uiPriority w:val="21"/>
    <w:qFormat/>
    <w:rsid w:val="00621DB7"/>
    <w:rPr>
      <w:i/>
      <w:iCs/>
      <w:color w:val="2F5496" w:themeColor="accent1" w:themeShade="BF"/>
    </w:rPr>
  </w:style>
  <w:style w:type="paragraph" w:styleId="Citadestacada">
    <w:name w:val="Intense Quote"/>
    <w:basedOn w:val="Normal"/>
    <w:next w:val="Normal"/>
    <w:link w:val="CitadestacadaCar"/>
    <w:uiPriority w:val="30"/>
    <w:qFormat/>
    <w:rsid w:val="00621D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1DB7"/>
    <w:rPr>
      <w:i/>
      <w:iCs/>
      <w:color w:val="2F5496" w:themeColor="accent1" w:themeShade="BF"/>
    </w:rPr>
  </w:style>
  <w:style w:type="character" w:styleId="Referenciaintensa">
    <w:name w:val="Intense Reference"/>
    <w:basedOn w:val="Fuentedeprrafopredeter"/>
    <w:uiPriority w:val="32"/>
    <w:qFormat/>
    <w:rsid w:val="00621DB7"/>
    <w:rPr>
      <w:b/>
      <w:bCs/>
      <w:smallCaps/>
      <w:color w:val="2F5496" w:themeColor="accent1" w:themeShade="BF"/>
      <w:spacing w:val="5"/>
    </w:rPr>
  </w:style>
  <w:style w:type="table" w:styleId="Tablanormal3">
    <w:name w:val="Plain Table 3"/>
    <w:basedOn w:val="Tablanormal"/>
    <w:uiPriority w:val="43"/>
    <w:rsid w:val="003E63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3E637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
    <w:name w:val="Hyperlink"/>
    <w:basedOn w:val="Fuentedeprrafopredeter"/>
    <w:uiPriority w:val="99"/>
    <w:unhideWhenUsed/>
    <w:rsid w:val="00434008"/>
    <w:rPr>
      <w:color w:val="0563C1" w:themeColor="hyperlink"/>
      <w:u w:val="single"/>
    </w:rPr>
  </w:style>
  <w:style w:type="character" w:styleId="Mencinsinresolver">
    <w:name w:val="Unresolved Mention"/>
    <w:basedOn w:val="Fuentedeprrafopredeter"/>
    <w:uiPriority w:val="99"/>
    <w:semiHidden/>
    <w:unhideWhenUsed/>
    <w:rsid w:val="00434008"/>
    <w:rPr>
      <w:color w:val="605E5C"/>
      <w:shd w:val="clear" w:color="auto" w:fill="E1DFDD"/>
    </w:rPr>
  </w:style>
  <w:style w:type="paragraph" w:styleId="Descripcin">
    <w:name w:val="caption"/>
    <w:basedOn w:val="Normal"/>
    <w:next w:val="Normal"/>
    <w:uiPriority w:val="35"/>
    <w:unhideWhenUsed/>
    <w:qFormat/>
    <w:rsid w:val="00A208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777587">
      <w:bodyDiv w:val="1"/>
      <w:marLeft w:val="0"/>
      <w:marRight w:val="0"/>
      <w:marTop w:val="0"/>
      <w:marBottom w:val="0"/>
      <w:divBdr>
        <w:top w:val="none" w:sz="0" w:space="0" w:color="auto"/>
        <w:left w:val="none" w:sz="0" w:space="0" w:color="auto"/>
        <w:bottom w:val="none" w:sz="0" w:space="0" w:color="auto"/>
        <w:right w:val="none" w:sz="0" w:space="0" w:color="auto"/>
      </w:divBdr>
      <w:divsChild>
        <w:div w:id="1094471378">
          <w:marLeft w:val="0"/>
          <w:marRight w:val="0"/>
          <w:marTop w:val="0"/>
          <w:marBottom w:val="0"/>
          <w:divBdr>
            <w:top w:val="none" w:sz="0" w:space="0" w:color="auto"/>
            <w:left w:val="none" w:sz="0" w:space="0" w:color="auto"/>
            <w:bottom w:val="none" w:sz="0" w:space="0" w:color="auto"/>
            <w:right w:val="none" w:sz="0" w:space="0" w:color="auto"/>
          </w:divBdr>
          <w:divsChild>
            <w:div w:id="1898661648">
              <w:marLeft w:val="0"/>
              <w:marRight w:val="0"/>
              <w:marTop w:val="0"/>
              <w:marBottom w:val="0"/>
              <w:divBdr>
                <w:top w:val="none" w:sz="0" w:space="0" w:color="auto"/>
                <w:left w:val="none" w:sz="0" w:space="0" w:color="auto"/>
                <w:bottom w:val="none" w:sz="0" w:space="0" w:color="auto"/>
                <w:right w:val="none" w:sz="0" w:space="0" w:color="auto"/>
              </w:divBdr>
            </w:div>
          </w:divsChild>
        </w:div>
        <w:div w:id="1145047322">
          <w:marLeft w:val="0"/>
          <w:marRight w:val="0"/>
          <w:marTop w:val="0"/>
          <w:marBottom w:val="0"/>
          <w:divBdr>
            <w:top w:val="none" w:sz="0" w:space="0" w:color="auto"/>
            <w:left w:val="none" w:sz="0" w:space="0" w:color="auto"/>
            <w:bottom w:val="none" w:sz="0" w:space="0" w:color="auto"/>
            <w:right w:val="none" w:sz="0" w:space="0" w:color="auto"/>
          </w:divBdr>
          <w:divsChild>
            <w:div w:id="3240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050">
      <w:bodyDiv w:val="1"/>
      <w:marLeft w:val="0"/>
      <w:marRight w:val="0"/>
      <w:marTop w:val="0"/>
      <w:marBottom w:val="0"/>
      <w:divBdr>
        <w:top w:val="none" w:sz="0" w:space="0" w:color="auto"/>
        <w:left w:val="none" w:sz="0" w:space="0" w:color="auto"/>
        <w:bottom w:val="none" w:sz="0" w:space="0" w:color="auto"/>
        <w:right w:val="none" w:sz="0" w:space="0" w:color="auto"/>
      </w:divBdr>
    </w:div>
    <w:div w:id="747266670">
      <w:bodyDiv w:val="1"/>
      <w:marLeft w:val="0"/>
      <w:marRight w:val="0"/>
      <w:marTop w:val="0"/>
      <w:marBottom w:val="0"/>
      <w:divBdr>
        <w:top w:val="none" w:sz="0" w:space="0" w:color="auto"/>
        <w:left w:val="none" w:sz="0" w:space="0" w:color="auto"/>
        <w:bottom w:val="none" w:sz="0" w:space="0" w:color="auto"/>
        <w:right w:val="none" w:sz="0" w:space="0" w:color="auto"/>
      </w:divBdr>
    </w:div>
    <w:div w:id="1461727652">
      <w:bodyDiv w:val="1"/>
      <w:marLeft w:val="0"/>
      <w:marRight w:val="0"/>
      <w:marTop w:val="0"/>
      <w:marBottom w:val="0"/>
      <w:divBdr>
        <w:top w:val="none" w:sz="0" w:space="0" w:color="auto"/>
        <w:left w:val="none" w:sz="0" w:space="0" w:color="auto"/>
        <w:bottom w:val="none" w:sz="0" w:space="0" w:color="auto"/>
        <w:right w:val="none" w:sz="0" w:space="0" w:color="auto"/>
      </w:divBdr>
    </w:div>
    <w:div w:id="1787653039">
      <w:bodyDiv w:val="1"/>
      <w:marLeft w:val="0"/>
      <w:marRight w:val="0"/>
      <w:marTop w:val="0"/>
      <w:marBottom w:val="0"/>
      <w:divBdr>
        <w:top w:val="none" w:sz="0" w:space="0" w:color="auto"/>
        <w:left w:val="none" w:sz="0" w:space="0" w:color="auto"/>
        <w:bottom w:val="none" w:sz="0" w:space="0" w:color="auto"/>
        <w:right w:val="none" w:sz="0" w:space="0" w:color="auto"/>
      </w:divBdr>
      <w:divsChild>
        <w:div w:id="1092748567">
          <w:marLeft w:val="0"/>
          <w:marRight w:val="0"/>
          <w:marTop w:val="0"/>
          <w:marBottom w:val="0"/>
          <w:divBdr>
            <w:top w:val="none" w:sz="0" w:space="0" w:color="auto"/>
            <w:left w:val="none" w:sz="0" w:space="0" w:color="auto"/>
            <w:bottom w:val="none" w:sz="0" w:space="0" w:color="auto"/>
            <w:right w:val="none" w:sz="0" w:space="0" w:color="auto"/>
          </w:divBdr>
          <w:divsChild>
            <w:div w:id="21397474">
              <w:marLeft w:val="0"/>
              <w:marRight w:val="0"/>
              <w:marTop w:val="0"/>
              <w:marBottom w:val="0"/>
              <w:divBdr>
                <w:top w:val="none" w:sz="0" w:space="0" w:color="auto"/>
                <w:left w:val="none" w:sz="0" w:space="0" w:color="auto"/>
                <w:bottom w:val="none" w:sz="0" w:space="0" w:color="auto"/>
                <w:right w:val="none" w:sz="0" w:space="0" w:color="auto"/>
              </w:divBdr>
            </w:div>
          </w:divsChild>
        </w:div>
        <w:div w:id="1596357083">
          <w:marLeft w:val="0"/>
          <w:marRight w:val="0"/>
          <w:marTop w:val="0"/>
          <w:marBottom w:val="0"/>
          <w:divBdr>
            <w:top w:val="none" w:sz="0" w:space="0" w:color="auto"/>
            <w:left w:val="none" w:sz="0" w:space="0" w:color="auto"/>
            <w:bottom w:val="none" w:sz="0" w:space="0" w:color="auto"/>
            <w:right w:val="none" w:sz="0" w:space="0" w:color="auto"/>
          </w:divBdr>
          <w:divsChild>
            <w:div w:id="9019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4043">
      <w:bodyDiv w:val="1"/>
      <w:marLeft w:val="0"/>
      <w:marRight w:val="0"/>
      <w:marTop w:val="0"/>
      <w:marBottom w:val="0"/>
      <w:divBdr>
        <w:top w:val="none" w:sz="0" w:space="0" w:color="auto"/>
        <w:left w:val="none" w:sz="0" w:space="0" w:color="auto"/>
        <w:bottom w:val="none" w:sz="0" w:space="0" w:color="auto"/>
        <w:right w:val="none" w:sz="0" w:space="0" w:color="auto"/>
      </w:divBdr>
      <w:divsChild>
        <w:div w:id="924803358">
          <w:marLeft w:val="0"/>
          <w:marRight w:val="0"/>
          <w:marTop w:val="0"/>
          <w:marBottom w:val="0"/>
          <w:divBdr>
            <w:top w:val="none" w:sz="0" w:space="0" w:color="auto"/>
            <w:left w:val="none" w:sz="0" w:space="0" w:color="auto"/>
            <w:bottom w:val="none" w:sz="0" w:space="0" w:color="auto"/>
            <w:right w:val="none" w:sz="0" w:space="0" w:color="auto"/>
          </w:divBdr>
          <w:divsChild>
            <w:div w:id="2000881786">
              <w:marLeft w:val="0"/>
              <w:marRight w:val="0"/>
              <w:marTop w:val="0"/>
              <w:marBottom w:val="0"/>
              <w:divBdr>
                <w:top w:val="none" w:sz="0" w:space="0" w:color="auto"/>
                <w:left w:val="none" w:sz="0" w:space="0" w:color="auto"/>
                <w:bottom w:val="none" w:sz="0" w:space="0" w:color="auto"/>
                <w:right w:val="none" w:sz="0" w:space="0" w:color="auto"/>
              </w:divBdr>
            </w:div>
          </w:divsChild>
        </w:div>
        <w:div w:id="896402979">
          <w:marLeft w:val="0"/>
          <w:marRight w:val="0"/>
          <w:marTop w:val="0"/>
          <w:marBottom w:val="0"/>
          <w:divBdr>
            <w:top w:val="none" w:sz="0" w:space="0" w:color="auto"/>
            <w:left w:val="none" w:sz="0" w:space="0" w:color="auto"/>
            <w:bottom w:val="none" w:sz="0" w:space="0" w:color="auto"/>
            <w:right w:val="none" w:sz="0" w:space="0" w:color="auto"/>
          </w:divBdr>
          <w:divsChild>
            <w:div w:id="17402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674">
      <w:bodyDiv w:val="1"/>
      <w:marLeft w:val="0"/>
      <w:marRight w:val="0"/>
      <w:marTop w:val="0"/>
      <w:marBottom w:val="0"/>
      <w:divBdr>
        <w:top w:val="none" w:sz="0" w:space="0" w:color="auto"/>
        <w:left w:val="none" w:sz="0" w:space="0" w:color="auto"/>
        <w:bottom w:val="none" w:sz="0" w:space="0" w:color="auto"/>
        <w:right w:val="none" w:sz="0" w:space="0" w:color="auto"/>
      </w:divBdr>
      <w:divsChild>
        <w:div w:id="14813922">
          <w:marLeft w:val="0"/>
          <w:marRight w:val="0"/>
          <w:marTop w:val="0"/>
          <w:marBottom w:val="0"/>
          <w:divBdr>
            <w:top w:val="none" w:sz="0" w:space="0" w:color="auto"/>
            <w:left w:val="none" w:sz="0" w:space="0" w:color="auto"/>
            <w:bottom w:val="none" w:sz="0" w:space="0" w:color="auto"/>
            <w:right w:val="none" w:sz="0" w:space="0" w:color="auto"/>
          </w:divBdr>
          <w:divsChild>
            <w:div w:id="1014720486">
              <w:marLeft w:val="0"/>
              <w:marRight w:val="0"/>
              <w:marTop w:val="0"/>
              <w:marBottom w:val="0"/>
              <w:divBdr>
                <w:top w:val="none" w:sz="0" w:space="0" w:color="auto"/>
                <w:left w:val="none" w:sz="0" w:space="0" w:color="auto"/>
                <w:bottom w:val="none" w:sz="0" w:space="0" w:color="auto"/>
                <w:right w:val="none" w:sz="0" w:space="0" w:color="auto"/>
              </w:divBdr>
            </w:div>
          </w:divsChild>
        </w:div>
        <w:div w:id="530145954">
          <w:marLeft w:val="0"/>
          <w:marRight w:val="0"/>
          <w:marTop w:val="0"/>
          <w:marBottom w:val="0"/>
          <w:divBdr>
            <w:top w:val="none" w:sz="0" w:space="0" w:color="auto"/>
            <w:left w:val="none" w:sz="0" w:space="0" w:color="auto"/>
            <w:bottom w:val="none" w:sz="0" w:space="0" w:color="auto"/>
            <w:right w:val="none" w:sz="0" w:space="0" w:color="auto"/>
          </w:divBdr>
          <w:divsChild>
            <w:div w:id="17846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1B971-54DA-4DEF-852C-273EDA3E2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638</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Fino Ayala</dc:creator>
  <cp:keywords/>
  <dc:description/>
  <cp:lastModifiedBy>Brandon Fino Ayala</cp:lastModifiedBy>
  <cp:revision>1</cp:revision>
  <dcterms:created xsi:type="dcterms:W3CDTF">2025-05-18T19:34:00Z</dcterms:created>
  <dcterms:modified xsi:type="dcterms:W3CDTF">2025-05-19T05:51:00Z</dcterms:modified>
</cp:coreProperties>
</file>