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F37FF" w14:textId="77777777" w:rsidR="00C623D1" w:rsidRPr="00E9775A" w:rsidRDefault="00C623D1" w:rsidP="00C623D1">
      <w:pPr>
        <w:spacing w:line="240" w:lineRule="auto"/>
        <w:rPr>
          <w:rFonts w:ascii="Times New Roman" w:eastAsia="Times New Roman" w:hAnsi="Times New Roman" w:cs="Times New Roman"/>
          <w:b/>
          <w:bCs/>
          <w:color w:val="000000"/>
          <w:sz w:val="56"/>
          <w:szCs w:val="56"/>
        </w:rPr>
      </w:pPr>
      <w:bookmarkStart w:id="0" w:name="_Hlk133327709"/>
      <w:bookmarkEnd w:id="0"/>
    </w:p>
    <w:p w14:paraId="1AD0BCF3" w14:textId="77777777" w:rsidR="003C3745" w:rsidRPr="00E9775A" w:rsidRDefault="003C3745" w:rsidP="00C623D1">
      <w:pPr>
        <w:spacing w:line="240" w:lineRule="auto"/>
        <w:rPr>
          <w:rFonts w:ascii="Times New Roman" w:eastAsia="Times New Roman" w:hAnsi="Times New Roman" w:cs="Times New Roman"/>
          <w:b/>
          <w:bCs/>
          <w:color w:val="000000"/>
          <w:sz w:val="92"/>
          <w:szCs w:val="92"/>
        </w:rPr>
      </w:pPr>
    </w:p>
    <w:p w14:paraId="5628DCE8" w14:textId="77777777" w:rsidR="00B153D9" w:rsidRPr="00C333C6" w:rsidRDefault="00C623D1" w:rsidP="00C333C6">
      <w:pPr>
        <w:spacing w:line="240" w:lineRule="auto"/>
        <w:jc w:val="center"/>
        <w:rPr>
          <w:rFonts w:ascii="Times New Roman" w:eastAsia="Times New Roman" w:hAnsi="Times New Roman" w:cs="Times New Roman"/>
          <w:color w:val="000000"/>
          <w:sz w:val="52"/>
          <w:szCs w:val="52"/>
        </w:rPr>
      </w:pPr>
      <w:r w:rsidRPr="00C333C6">
        <w:rPr>
          <w:rFonts w:ascii="Times New Roman" w:eastAsia="Times New Roman" w:hAnsi="Times New Roman" w:cs="Times New Roman"/>
          <w:color w:val="000000"/>
          <w:sz w:val="52"/>
          <w:szCs w:val="52"/>
        </w:rPr>
        <w:t>Drug Decriminalization and Drug Overdose:</w:t>
      </w:r>
    </w:p>
    <w:p w14:paraId="506A2B3E" w14:textId="77D48CEE" w:rsidR="00885652" w:rsidRPr="00C333C6" w:rsidRDefault="00C623D1" w:rsidP="00C333C6">
      <w:pPr>
        <w:spacing w:line="240" w:lineRule="auto"/>
        <w:jc w:val="center"/>
        <w:rPr>
          <w:rFonts w:ascii="Times New Roman" w:eastAsia="Times New Roman" w:hAnsi="Times New Roman" w:cs="Times New Roman"/>
          <w:color w:val="000000"/>
          <w:sz w:val="52"/>
          <w:szCs w:val="52"/>
        </w:rPr>
      </w:pPr>
      <w:r w:rsidRPr="00C333C6">
        <w:rPr>
          <w:rFonts w:ascii="Times New Roman" w:eastAsia="Times New Roman" w:hAnsi="Times New Roman" w:cs="Times New Roman"/>
          <w:color w:val="000000"/>
          <w:sz w:val="52"/>
          <w:szCs w:val="52"/>
        </w:rPr>
        <w:t>A Case Study of Oregon’s Measure 110</w:t>
      </w:r>
    </w:p>
    <w:p w14:paraId="302F6B9E" w14:textId="77777777" w:rsidR="00C333C6" w:rsidRPr="00383DCA" w:rsidRDefault="00C333C6" w:rsidP="00C333C6">
      <w:pPr>
        <w:spacing w:line="240" w:lineRule="auto"/>
        <w:jc w:val="center"/>
        <w:rPr>
          <w:rFonts w:ascii="Times New Roman" w:eastAsia="Times New Roman" w:hAnsi="Times New Roman" w:cs="Times New Roman"/>
          <w:color w:val="000000"/>
          <w:sz w:val="24"/>
          <w:szCs w:val="24"/>
        </w:rPr>
      </w:pPr>
    </w:p>
    <w:p w14:paraId="0D866E9C" w14:textId="794E1502" w:rsidR="00C333C6" w:rsidRPr="00FE175E" w:rsidRDefault="00C623D1" w:rsidP="00C333C6">
      <w:pPr>
        <w:spacing w:line="240" w:lineRule="auto"/>
        <w:jc w:val="center"/>
        <w:rPr>
          <w:rFonts w:ascii="Times New Roman" w:eastAsia="Times New Roman" w:hAnsi="Times New Roman" w:cs="Times New Roman"/>
          <w:color w:val="000000"/>
          <w:sz w:val="32"/>
          <w:szCs w:val="32"/>
          <w:lang w:val="de-DE"/>
        </w:rPr>
      </w:pPr>
      <w:r w:rsidRPr="00FE175E">
        <w:rPr>
          <w:rFonts w:ascii="Times New Roman" w:eastAsia="Times New Roman" w:hAnsi="Times New Roman" w:cs="Times New Roman"/>
          <w:color w:val="000000"/>
          <w:sz w:val="32"/>
          <w:szCs w:val="32"/>
          <w:lang w:val="de-DE"/>
        </w:rPr>
        <w:t>Brannigan Vogt</w:t>
      </w:r>
      <w:r w:rsidR="00C333C6" w:rsidRPr="00FE175E">
        <w:rPr>
          <w:rFonts w:ascii="Times New Roman" w:eastAsia="Times New Roman" w:hAnsi="Times New Roman" w:cs="Times New Roman"/>
          <w:color w:val="000000"/>
          <w:sz w:val="32"/>
          <w:szCs w:val="32"/>
          <w:lang w:val="de-DE"/>
        </w:rPr>
        <w:t>*</w:t>
      </w:r>
    </w:p>
    <w:p w14:paraId="5A39C82A" w14:textId="77777777" w:rsidR="00FE175E" w:rsidRDefault="00FE175E" w:rsidP="00C333C6">
      <w:pPr>
        <w:spacing w:line="240" w:lineRule="auto"/>
        <w:jc w:val="center"/>
        <w:rPr>
          <w:rFonts w:ascii="Times New Roman" w:eastAsia="Times New Roman" w:hAnsi="Times New Roman" w:cs="Times New Roman"/>
          <w:color w:val="000000"/>
          <w:sz w:val="32"/>
          <w:szCs w:val="32"/>
          <w:lang w:val="de-DE"/>
        </w:rPr>
      </w:pPr>
      <w:r w:rsidRPr="00FE175E">
        <w:rPr>
          <w:rFonts w:ascii="Times New Roman" w:eastAsia="Times New Roman" w:hAnsi="Times New Roman" w:cs="Times New Roman"/>
          <w:color w:val="000000"/>
          <w:sz w:val="32"/>
          <w:szCs w:val="32"/>
          <w:lang w:val="de-DE"/>
        </w:rPr>
        <w:t>EC</w:t>
      </w:r>
      <w:r>
        <w:rPr>
          <w:rFonts w:ascii="Times New Roman" w:eastAsia="Times New Roman" w:hAnsi="Times New Roman" w:cs="Times New Roman"/>
          <w:color w:val="000000"/>
          <w:sz w:val="32"/>
          <w:szCs w:val="32"/>
          <w:lang w:val="de-DE"/>
        </w:rPr>
        <w:t xml:space="preserve"> 596/597</w:t>
      </w:r>
    </w:p>
    <w:p w14:paraId="1A1A8F00" w14:textId="75C0D736" w:rsidR="009717E6" w:rsidRPr="00FE175E" w:rsidRDefault="00C333C6" w:rsidP="00C333C6">
      <w:pPr>
        <w:spacing w:line="240" w:lineRule="auto"/>
        <w:jc w:val="center"/>
        <w:rPr>
          <w:rFonts w:ascii="Times New Roman" w:eastAsia="Times New Roman" w:hAnsi="Times New Roman" w:cs="Times New Roman"/>
          <w:color w:val="000000"/>
          <w:sz w:val="32"/>
          <w:szCs w:val="32"/>
          <w:lang w:val="de-DE"/>
        </w:rPr>
      </w:pPr>
      <w:r w:rsidRPr="00FE175E">
        <w:rPr>
          <w:rFonts w:ascii="Times New Roman" w:eastAsia="Times New Roman" w:hAnsi="Times New Roman" w:cs="Times New Roman"/>
          <w:color w:val="000000"/>
          <w:sz w:val="32"/>
          <w:szCs w:val="32"/>
          <w:lang w:val="de-DE"/>
        </w:rPr>
        <w:t>Spring 2023</w:t>
      </w:r>
    </w:p>
    <w:p w14:paraId="1DFBBE38" w14:textId="77777777" w:rsidR="009717E6" w:rsidRPr="00FE175E" w:rsidRDefault="009717E6" w:rsidP="00C333C6">
      <w:pPr>
        <w:spacing w:line="240" w:lineRule="auto"/>
        <w:jc w:val="center"/>
        <w:rPr>
          <w:rFonts w:ascii="Times New Roman" w:eastAsia="Times New Roman" w:hAnsi="Times New Roman" w:cs="Times New Roman"/>
          <w:color w:val="000000"/>
          <w:sz w:val="32"/>
          <w:szCs w:val="32"/>
          <w:lang w:val="de-DE"/>
        </w:rPr>
      </w:pPr>
    </w:p>
    <w:p w14:paraId="08DA67BA" w14:textId="77777777" w:rsidR="00C333C6" w:rsidRPr="00FE175E" w:rsidRDefault="009717E6" w:rsidP="00C333C6">
      <w:pPr>
        <w:spacing w:line="240" w:lineRule="auto"/>
        <w:jc w:val="center"/>
        <w:rPr>
          <w:rFonts w:ascii="Times New Roman" w:eastAsia="Times New Roman" w:hAnsi="Times New Roman" w:cs="Times New Roman"/>
          <w:b/>
          <w:bCs/>
          <w:color w:val="000000"/>
          <w:sz w:val="28"/>
          <w:szCs w:val="28"/>
          <w:lang w:val="de-DE"/>
        </w:rPr>
      </w:pPr>
      <w:r w:rsidRPr="00FE175E">
        <w:rPr>
          <w:rFonts w:ascii="Times New Roman" w:eastAsia="Times New Roman" w:hAnsi="Times New Roman" w:cs="Times New Roman"/>
          <w:b/>
          <w:bCs/>
          <w:color w:val="000000"/>
          <w:sz w:val="28"/>
          <w:szCs w:val="28"/>
          <w:lang w:val="de-DE"/>
        </w:rPr>
        <w:t>Abstract</w:t>
      </w:r>
    </w:p>
    <w:p w14:paraId="22128812" w14:textId="12212693" w:rsidR="00885652" w:rsidRPr="00383DCA" w:rsidRDefault="003C3745" w:rsidP="00FE175E">
      <w:pPr>
        <w:spacing w:line="360" w:lineRule="auto"/>
        <w:rPr>
          <w:rFonts w:ascii="Times New Roman" w:hAnsi="Times New Roman" w:cs="Times New Roman"/>
        </w:rPr>
      </w:pPr>
      <w:r w:rsidRPr="00383DCA">
        <w:rPr>
          <w:rFonts w:ascii="Times New Roman" w:eastAsia="Times New Roman" w:hAnsi="Times New Roman" w:cs="Times New Roman"/>
          <w:color w:val="000000"/>
          <w:sz w:val="24"/>
          <w:szCs w:val="24"/>
        </w:rPr>
        <w:t xml:space="preserve">In 2021, the United States surpassed 100,000 annual drug overdose deaths. In Oregon, Measure 110 decriminalized drug use on 1 </w:t>
      </w:r>
      <w:r w:rsidRPr="00383DCA">
        <w:rPr>
          <w:rFonts w:ascii="Times New Roman" w:eastAsia="Times New Roman" w:hAnsi="Times New Roman" w:cs="Times New Roman"/>
          <w:sz w:val="24"/>
          <w:szCs w:val="24"/>
        </w:rPr>
        <w:t>February 2021, making Oregon the first US State to decriminalize drug</w:t>
      </w:r>
      <w:r w:rsidR="00A44D7C" w:rsidRPr="00383DCA">
        <w:rPr>
          <w:rFonts w:ascii="Times New Roman" w:eastAsia="Times New Roman" w:hAnsi="Times New Roman" w:cs="Times New Roman"/>
          <w:sz w:val="24"/>
          <w:szCs w:val="24"/>
        </w:rPr>
        <w:t xml:space="preserve"> use</w:t>
      </w:r>
      <w:r w:rsidRPr="00383DCA">
        <w:rPr>
          <w:rFonts w:ascii="Times New Roman" w:eastAsia="Times New Roman" w:hAnsi="Times New Roman" w:cs="Times New Roman"/>
          <w:sz w:val="24"/>
          <w:szCs w:val="24"/>
        </w:rPr>
        <w:t xml:space="preserve">. </w:t>
      </w:r>
      <w:r w:rsidR="00EC6FD7" w:rsidRPr="00383DCA">
        <w:rPr>
          <w:rFonts w:ascii="Times New Roman" w:eastAsia="Times New Roman" w:hAnsi="Times New Roman" w:cs="Times New Roman"/>
          <w:sz w:val="24"/>
          <w:szCs w:val="24"/>
        </w:rPr>
        <w:t>T</w:t>
      </w:r>
      <w:r w:rsidRPr="00383DCA">
        <w:rPr>
          <w:rFonts w:ascii="Times New Roman" w:eastAsia="Times New Roman" w:hAnsi="Times New Roman" w:cs="Times New Roman"/>
          <w:sz w:val="24"/>
          <w:szCs w:val="24"/>
        </w:rPr>
        <w:t>his paper studies drug decriminalization in Oregon using the Synthetic Control Method. State-level monthly unintentional drug overdose death data based on death certificates is obtained from the CDC. Comparing Oregon to a synthetic doppelganger constructed from a convex combination of other states, the results indicate that Measure 110 increased overdose deaths by</w:t>
      </w:r>
      <w:r w:rsidR="00305D3C" w:rsidRPr="00383DCA">
        <w:rPr>
          <w:rFonts w:ascii="Times New Roman" w:eastAsia="Times New Roman" w:hAnsi="Times New Roman" w:cs="Times New Roman"/>
          <w:sz w:val="24"/>
          <w:szCs w:val="24"/>
        </w:rPr>
        <w:t xml:space="preserve"> 528</w:t>
      </w:r>
      <w:r w:rsidRPr="00383DCA">
        <w:rPr>
          <w:rFonts w:ascii="Times New Roman" w:eastAsia="Times New Roman" w:hAnsi="Times New Roman" w:cs="Times New Roman"/>
          <w:sz w:val="24"/>
          <w:szCs w:val="24"/>
        </w:rPr>
        <w:t xml:space="preserve"> in the </w:t>
      </w:r>
      <w:r w:rsidR="00305D3C" w:rsidRPr="00383DCA">
        <w:rPr>
          <w:rFonts w:ascii="Times New Roman" w:eastAsia="Times New Roman" w:hAnsi="Times New Roman" w:cs="Times New Roman"/>
          <w:sz w:val="24"/>
          <w:szCs w:val="24"/>
        </w:rPr>
        <w:t>20</w:t>
      </w:r>
      <w:r w:rsidRPr="00383DCA">
        <w:rPr>
          <w:rFonts w:ascii="Times New Roman" w:eastAsia="Times New Roman" w:hAnsi="Times New Roman" w:cs="Times New Roman"/>
          <w:sz w:val="24"/>
          <w:szCs w:val="24"/>
        </w:rPr>
        <w:t xml:space="preserve"> months from </w:t>
      </w:r>
      <w:r w:rsidR="00305D3C" w:rsidRPr="00383DCA">
        <w:rPr>
          <w:rFonts w:ascii="Times New Roman" w:eastAsia="Times New Roman" w:hAnsi="Times New Roman" w:cs="Times New Roman"/>
          <w:sz w:val="24"/>
          <w:szCs w:val="24"/>
        </w:rPr>
        <w:t>March 2021</w:t>
      </w:r>
      <w:r w:rsidRPr="00383DCA">
        <w:rPr>
          <w:rFonts w:ascii="Times New Roman" w:eastAsia="Times New Roman" w:hAnsi="Times New Roman" w:cs="Times New Roman"/>
          <w:sz w:val="24"/>
          <w:szCs w:val="24"/>
        </w:rPr>
        <w:t xml:space="preserve"> to </w:t>
      </w:r>
      <w:r w:rsidR="00305D3C" w:rsidRPr="00383DCA">
        <w:rPr>
          <w:rFonts w:ascii="Times New Roman" w:eastAsia="Times New Roman" w:hAnsi="Times New Roman" w:cs="Times New Roman"/>
          <w:sz w:val="24"/>
          <w:szCs w:val="24"/>
        </w:rPr>
        <w:t>October</w:t>
      </w:r>
      <w:r w:rsidRPr="00383DCA">
        <w:rPr>
          <w:rFonts w:ascii="Times New Roman" w:eastAsia="Times New Roman" w:hAnsi="Times New Roman" w:cs="Times New Roman"/>
          <w:sz w:val="24"/>
          <w:szCs w:val="24"/>
        </w:rPr>
        <w:t xml:space="preserve"> 2022.</w:t>
      </w:r>
    </w:p>
    <w:p w14:paraId="42F96375" w14:textId="77777777" w:rsidR="00FE175E" w:rsidRPr="00E9775A" w:rsidRDefault="00FE175E" w:rsidP="00FE175E">
      <w:pPr>
        <w:spacing w:line="240" w:lineRule="auto"/>
        <w:rPr>
          <w:rFonts w:ascii="Times New Roman" w:hAnsi="Times New Roman" w:cs="Times New Roman"/>
          <w:sz w:val="24"/>
          <w:szCs w:val="24"/>
        </w:rPr>
      </w:pPr>
    </w:p>
    <w:p w14:paraId="715AC3BA" w14:textId="3A83AE78" w:rsidR="00C623D1" w:rsidRPr="00FE175E" w:rsidRDefault="00C623D1" w:rsidP="00FE175E">
      <w:pPr>
        <w:spacing w:line="240" w:lineRule="auto"/>
        <w:rPr>
          <w:rFonts w:ascii="Times New Roman" w:hAnsi="Times New Roman" w:cs="Times New Roman"/>
          <w:sz w:val="24"/>
          <w:szCs w:val="24"/>
        </w:rPr>
      </w:pPr>
      <w:r w:rsidRPr="00FE175E">
        <w:rPr>
          <w:rFonts w:ascii="Times New Roman" w:hAnsi="Times New Roman" w:cs="Times New Roman"/>
          <w:b/>
          <w:bCs/>
          <w:sz w:val="24"/>
          <w:szCs w:val="24"/>
        </w:rPr>
        <w:t>Key</w:t>
      </w:r>
      <w:r w:rsidR="00FE175E" w:rsidRPr="00FE175E">
        <w:rPr>
          <w:rFonts w:ascii="Times New Roman" w:hAnsi="Times New Roman" w:cs="Times New Roman"/>
          <w:b/>
          <w:bCs/>
          <w:sz w:val="24"/>
          <w:szCs w:val="24"/>
        </w:rPr>
        <w:t>w</w:t>
      </w:r>
      <w:r w:rsidRPr="00FE175E">
        <w:rPr>
          <w:rFonts w:ascii="Times New Roman" w:hAnsi="Times New Roman" w:cs="Times New Roman"/>
          <w:b/>
          <w:bCs/>
          <w:sz w:val="24"/>
          <w:szCs w:val="24"/>
        </w:rPr>
        <w:t>ords</w:t>
      </w:r>
      <w:r w:rsidRPr="00FE175E">
        <w:rPr>
          <w:rFonts w:ascii="Times New Roman" w:hAnsi="Times New Roman" w:cs="Times New Roman"/>
          <w:b/>
          <w:bCs/>
          <w:i/>
          <w:iCs/>
          <w:sz w:val="24"/>
          <w:szCs w:val="24"/>
        </w:rPr>
        <w:t xml:space="preserve">: </w:t>
      </w:r>
      <w:r w:rsidRPr="00FE175E">
        <w:rPr>
          <w:rFonts w:ascii="Times New Roman" w:hAnsi="Times New Roman" w:cs="Times New Roman"/>
          <w:sz w:val="24"/>
          <w:szCs w:val="24"/>
        </w:rPr>
        <w:t>Drug Decriminalization, Drug Overdose Deaths, Measure 110,</w:t>
      </w:r>
    </w:p>
    <w:p w14:paraId="157CFACC" w14:textId="77777777" w:rsidR="00FE175E" w:rsidRDefault="00C623D1" w:rsidP="00FE175E">
      <w:pPr>
        <w:spacing w:line="360" w:lineRule="auto"/>
        <w:ind w:left="1440"/>
        <w:rPr>
          <w:rFonts w:ascii="Times New Roman" w:hAnsi="Times New Roman" w:cs="Times New Roman"/>
          <w:sz w:val="24"/>
          <w:szCs w:val="24"/>
        </w:rPr>
      </w:pPr>
      <w:r w:rsidRPr="00FE175E">
        <w:rPr>
          <w:rFonts w:ascii="Times New Roman" w:hAnsi="Times New Roman" w:cs="Times New Roman"/>
          <w:sz w:val="24"/>
          <w:szCs w:val="24"/>
        </w:rPr>
        <w:t>Substance Use Treatment, Synthetic Control Method</w:t>
      </w:r>
    </w:p>
    <w:p w14:paraId="4213AF94" w14:textId="5A3BD8EE" w:rsidR="00C623D1" w:rsidRPr="00F360CC" w:rsidRDefault="00FE175E" w:rsidP="00383DCA">
      <w:pPr>
        <w:spacing w:line="360" w:lineRule="auto"/>
        <w:rPr>
          <w:rFonts w:ascii="Times New Roman" w:hAnsi="Times New Roman" w:cs="Times New Roman"/>
          <w:b/>
          <w:bCs/>
          <w:sz w:val="24"/>
          <w:szCs w:val="24"/>
          <w:lang w:val="it-IT"/>
        </w:rPr>
      </w:pPr>
      <w:r w:rsidRPr="00F360CC">
        <w:rPr>
          <w:rFonts w:ascii="Times New Roman" w:hAnsi="Times New Roman" w:cs="Times New Roman"/>
          <w:b/>
          <w:bCs/>
          <w:sz w:val="24"/>
          <w:szCs w:val="24"/>
          <w:lang w:val="it-IT"/>
        </w:rPr>
        <w:t xml:space="preserve"> </w:t>
      </w:r>
      <w:r w:rsidR="00383DCA" w:rsidRPr="00F360CC">
        <w:rPr>
          <w:rFonts w:ascii="Times New Roman" w:hAnsi="Times New Roman" w:cs="Times New Roman"/>
          <w:b/>
          <w:bCs/>
          <w:sz w:val="24"/>
          <w:szCs w:val="24"/>
          <w:lang w:val="it-IT"/>
        </w:rPr>
        <w:t xml:space="preserve"> </w:t>
      </w:r>
      <w:r w:rsidRPr="00F360CC">
        <w:rPr>
          <w:rFonts w:ascii="Times New Roman" w:hAnsi="Times New Roman" w:cs="Times New Roman"/>
          <w:b/>
          <w:bCs/>
          <w:sz w:val="24"/>
          <w:szCs w:val="24"/>
          <w:lang w:val="it-IT"/>
        </w:rPr>
        <w:t xml:space="preserve">JEL Codes: </w:t>
      </w:r>
      <w:r w:rsidRPr="00F360CC">
        <w:rPr>
          <w:rFonts w:ascii="Times New Roman" w:hAnsi="Times New Roman" w:cs="Times New Roman"/>
          <w:sz w:val="24"/>
          <w:szCs w:val="24"/>
          <w:lang w:val="it-IT"/>
        </w:rPr>
        <w:t xml:space="preserve">C54, </w:t>
      </w:r>
      <w:r w:rsidR="0062751F">
        <w:rPr>
          <w:rFonts w:ascii="Times New Roman" w:hAnsi="Times New Roman" w:cs="Times New Roman"/>
          <w:sz w:val="24"/>
          <w:szCs w:val="24"/>
          <w:lang w:val="it-IT"/>
        </w:rPr>
        <w:t xml:space="preserve">D04, </w:t>
      </w:r>
      <w:r w:rsidR="00F360CC" w:rsidRPr="00F360CC">
        <w:rPr>
          <w:rFonts w:ascii="Times New Roman" w:hAnsi="Times New Roman" w:cs="Times New Roman"/>
          <w:sz w:val="24"/>
          <w:szCs w:val="24"/>
          <w:lang w:val="it-IT"/>
        </w:rPr>
        <w:t>D78</w:t>
      </w:r>
      <w:r w:rsidR="009A6179" w:rsidRPr="00F360CC">
        <w:rPr>
          <w:rFonts w:ascii="Times New Roman" w:hAnsi="Times New Roman" w:cs="Times New Roman"/>
          <w:sz w:val="24"/>
          <w:szCs w:val="24"/>
          <w:lang w:val="it-IT"/>
        </w:rPr>
        <w:t xml:space="preserve">, </w:t>
      </w:r>
      <w:r w:rsidRPr="00F360CC">
        <w:rPr>
          <w:rFonts w:ascii="Times New Roman" w:hAnsi="Times New Roman" w:cs="Times New Roman"/>
          <w:sz w:val="24"/>
          <w:szCs w:val="24"/>
          <w:lang w:val="it-IT"/>
        </w:rPr>
        <w:t>I18, K42</w:t>
      </w:r>
    </w:p>
    <w:p w14:paraId="269466B4" w14:textId="77777777" w:rsidR="00C623D1" w:rsidRPr="00FE175E" w:rsidRDefault="00C623D1" w:rsidP="00C333C6">
      <w:pPr>
        <w:spacing w:line="360" w:lineRule="auto"/>
        <w:rPr>
          <w:rFonts w:asciiTheme="majorBidi" w:hAnsiTheme="majorBidi" w:cstheme="majorBidi"/>
          <w:b/>
          <w:bCs/>
          <w:color w:val="0D0D0D" w:themeColor="text1" w:themeTint="F2"/>
          <w:sz w:val="28"/>
          <w:szCs w:val="28"/>
        </w:rPr>
      </w:pPr>
      <w:r w:rsidRPr="00F360CC">
        <w:rPr>
          <w:rFonts w:ascii="Times New Roman" w:hAnsi="Times New Roman" w:cs="Times New Roman"/>
          <w:b/>
          <w:bCs/>
          <w:sz w:val="24"/>
          <w:szCs w:val="24"/>
          <w:lang w:val="it-IT"/>
        </w:rPr>
        <w:br w:type="page"/>
      </w:r>
      <w:r w:rsidRPr="00FE175E">
        <w:rPr>
          <w:rFonts w:asciiTheme="majorBidi" w:hAnsiTheme="majorBidi" w:cstheme="majorBidi"/>
          <w:b/>
          <w:bCs/>
          <w:color w:val="0D0D0D" w:themeColor="text1" w:themeTint="F2"/>
          <w:sz w:val="28"/>
          <w:szCs w:val="28"/>
        </w:rPr>
        <w:lastRenderedPageBreak/>
        <w:t>1. Introduction</w:t>
      </w:r>
    </w:p>
    <w:p w14:paraId="77628476" w14:textId="54627BFA" w:rsidR="000258D5" w:rsidRPr="000258D5" w:rsidRDefault="000258D5" w:rsidP="000258D5">
      <w:pPr>
        <w:spacing w:line="360" w:lineRule="auto"/>
        <w:ind w:firstLine="720"/>
        <w:rPr>
          <w:rFonts w:asciiTheme="majorBidi" w:hAnsiTheme="majorBidi" w:cstheme="majorBidi"/>
          <w:sz w:val="24"/>
          <w:szCs w:val="24"/>
        </w:rPr>
      </w:pPr>
      <w:r w:rsidRPr="000258D5">
        <w:rPr>
          <w:rFonts w:asciiTheme="majorBidi" w:hAnsiTheme="majorBidi" w:cstheme="majorBidi"/>
          <w:sz w:val="24"/>
          <w:szCs w:val="24"/>
        </w:rPr>
        <w:t>The United States saw a sobering escalation in drug-related fatalities in 2021, reaching an annual toll of over 100,000 drug overdose deaths (Netherland et al, 2022). This grim milestone marked more than a tripling of such deaths since 1990 and a disturbing 29% rise between 2019 and 2020, following a 4% increment from 2018 to 2019 (Towles, 2022). Moreover, opioids were implicated in seven out of every ten overdose deaths in this period (NCDAS, 2023). This escalating crisis has instigated a flurry of economic research examining the potential impacts of drug decriminalization on drug demand, supply, and public health outcomes, such as overdose fatalities. However, the relationship among the decriminalization of drug use, health interventions, and overdose deaths has been found to be multifaceted, leading to a spectrum of findings in the literature.</w:t>
      </w:r>
    </w:p>
    <w:p w14:paraId="771C59EF" w14:textId="758CD31F" w:rsidR="000258D5" w:rsidRPr="000258D5" w:rsidRDefault="000258D5" w:rsidP="000258D5">
      <w:pPr>
        <w:spacing w:line="360" w:lineRule="auto"/>
        <w:ind w:firstLine="720"/>
        <w:rPr>
          <w:rFonts w:asciiTheme="majorBidi" w:hAnsiTheme="majorBidi" w:cstheme="majorBidi"/>
          <w:sz w:val="24"/>
          <w:szCs w:val="24"/>
        </w:rPr>
      </w:pPr>
      <w:r w:rsidRPr="000258D5">
        <w:rPr>
          <w:rFonts w:asciiTheme="majorBidi" w:hAnsiTheme="majorBidi" w:cstheme="majorBidi"/>
          <w:sz w:val="24"/>
          <w:szCs w:val="24"/>
        </w:rPr>
        <w:t xml:space="preserve">Most </w:t>
      </w:r>
      <w:r>
        <w:rPr>
          <w:rFonts w:asciiTheme="majorBidi" w:hAnsiTheme="majorBidi" w:cstheme="majorBidi"/>
          <w:sz w:val="24"/>
          <w:szCs w:val="24"/>
        </w:rPr>
        <w:t>existing</w:t>
      </w:r>
      <w:r w:rsidRPr="000258D5">
        <w:rPr>
          <w:rFonts w:asciiTheme="majorBidi" w:hAnsiTheme="majorBidi" w:cstheme="majorBidi"/>
          <w:sz w:val="24"/>
          <w:szCs w:val="24"/>
        </w:rPr>
        <w:t xml:space="preserve"> studies </w:t>
      </w:r>
      <w:r>
        <w:rPr>
          <w:rFonts w:asciiTheme="majorBidi" w:hAnsiTheme="majorBidi" w:cstheme="majorBidi"/>
          <w:sz w:val="24"/>
          <w:szCs w:val="24"/>
        </w:rPr>
        <w:t>focus</w:t>
      </w:r>
      <w:r w:rsidRPr="000258D5">
        <w:rPr>
          <w:rFonts w:asciiTheme="majorBidi" w:hAnsiTheme="majorBidi" w:cstheme="majorBidi"/>
          <w:sz w:val="24"/>
          <w:szCs w:val="24"/>
        </w:rPr>
        <w:t xml:space="preserve"> on marijuana decriminalization at the US state level, generating mixed results, and lack an in-depth exploration of the broader implications of drug decriminalization. For instance, research from Western Australia suggests that marijuana decriminalization led to an uptick in use among minors in the five years following decriminalization (Williams and Bretteville-Jensen, 2014). The ongoing overdose epidemic has reignited the discussion around drug decriminalization as a potential policy solution, especially considering the wide-ranging economic implications of such a measure, such as changes in healthcare expenditures, criminal justice costs, tax revenues, and public health outcomes. Yet, the empirical evidence examining the causal effects of broad non-marijuana decriminalization on drug overdoses is woefully sparse (Félix et al., 2017; Spencer, 2022).</w:t>
      </w:r>
    </w:p>
    <w:p w14:paraId="7AF02FB2" w14:textId="77777777" w:rsidR="000258D5" w:rsidRDefault="000258D5" w:rsidP="000258D5">
      <w:pPr>
        <w:spacing w:line="360" w:lineRule="auto"/>
        <w:ind w:firstLine="720"/>
        <w:rPr>
          <w:rFonts w:asciiTheme="majorBidi" w:hAnsiTheme="majorBidi" w:cstheme="majorBidi"/>
          <w:sz w:val="24"/>
          <w:szCs w:val="24"/>
        </w:rPr>
      </w:pPr>
      <w:r w:rsidRPr="000258D5">
        <w:rPr>
          <w:rFonts w:asciiTheme="majorBidi" w:hAnsiTheme="majorBidi" w:cstheme="majorBidi"/>
          <w:sz w:val="24"/>
          <w:szCs w:val="24"/>
        </w:rPr>
        <w:t xml:space="preserve">This paper seeks to fill this gap by examining the potential causal impact of Oregon's Measure 110 on drug overdose deaths. Enacted in February 2021 following a November 2020 vote, Measure 110 provides a unique opportunity to study the effects of an isolated and sudden implementation of drug decriminalization on public health outcomes and the lives of people who use drugs (PWUD). The consequences of drug decriminalization on drug use and overdose deaths </w:t>
      </w:r>
      <w:proofErr w:type="gramStart"/>
      <w:r w:rsidRPr="000258D5">
        <w:rPr>
          <w:rFonts w:asciiTheme="majorBidi" w:hAnsiTheme="majorBidi" w:cstheme="majorBidi"/>
          <w:sz w:val="24"/>
          <w:szCs w:val="24"/>
        </w:rPr>
        <w:t>is</w:t>
      </w:r>
      <w:proofErr w:type="gramEnd"/>
      <w:r w:rsidRPr="000258D5">
        <w:rPr>
          <w:rFonts w:asciiTheme="majorBidi" w:hAnsiTheme="majorBidi" w:cstheme="majorBidi"/>
          <w:sz w:val="24"/>
          <w:szCs w:val="24"/>
        </w:rPr>
        <w:t xml:space="preserve"> a matter of critical importance for both researchers and policymakers, and Oregon’s Measure 110 offers a prime case study.</w:t>
      </w:r>
    </w:p>
    <w:p w14:paraId="5FA38728" w14:textId="44D6AE79" w:rsidR="000258D5" w:rsidRPr="000258D5" w:rsidRDefault="000258D5" w:rsidP="000258D5">
      <w:pPr>
        <w:spacing w:line="360" w:lineRule="auto"/>
        <w:ind w:firstLine="720"/>
        <w:rPr>
          <w:rFonts w:asciiTheme="majorBidi" w:hAnsiTheme="majorBidi" w:cstheme="majorBidi"/>
          <w:sz w:val="24"/>
          <w:szCs w:val="24"/>
        </w:rPr>
      </w:pPr>
      <w:r w:rsidRPr="000258D5">
        <w:rPr>
          <w:rFonts w:asciiTheme="majorBidi" w:hAnsiTheme="majorBidi" w:cstheme="majorBidi"/>
          <w:sz w:val="24"/>
          <w:szCs w:val="24"/>
        </w:rPr>
        <w:lastRenderedPageBreak/>
        <w:t>Current studies on comprehensive drug decriminalization are often limited in their scope and challenged by difficulties in drawing causal inferences due to the absence of comparable groups. In an effort to overcome these limitations, this paper leverages a natural experiment design to estimate the causal impact of drug decriminalization. The unusual circumstance of a US state implementing drug decriminalization through direct citizen action, rather than traditional legislative channels, provides an invaluable context for studying its causal impacts, particularly when juxtaposed with the broader nation.</w:t>
      </w:r>
    </w:p>
    <w:p w14:paraId="4BE7B915" w14:textId="113B0647" w:rsidR="000258D5" w:rsidRPr="000258D5" w:rsidRDefault="000258D5" w:rsidP="000258D5">
      <w:pPr>
        <w:spacing w:line="360" w:lineRule="auto"/>
        <w:ind w:firstLine="720"/>
        <w:rPr>
          <w:rFonts w:asciiTheme="majorBidi" w:hAnsiTheme="majorBidi" w:cstheme="majorBidi"/>
          <w:sz w:val="24"/>
          <w:szCs w:val="24"/>
        </w:rPr>
      </w:pPr>
      <w:r w:rsidRPr="000258D5">
        <w:rPr>
          <w:rFonts w:asciiTheme="majorBidi" w:hAnsiTheme="majorBidi" w:cstheme="majorBidi"/>
          <w:sz w:val="24"/>
          <w:szCs w:val="24"/>
        </w:rPr>
        <w:t xml:space="preserve">The exploration of this state-level policy shift employs the </w:t>
      </w:r>
      <w:r>
        <w:rPr>
          <w:rFonts w:asciiTheme="majorBidi" w:hAnsiTheme="majorBidi" w:cstheme="majorBidi"/>
          <w:sz w:val="24"/>
          <w:szCs w:val="24"/>
        </w:rPr>
        <w:t>S</w:t>
      </w:r>
      <w:r w:rsidRPr="000258D5">
        <w:rPr>
          <w:rFonts w:asciiTheme="majorBidi" w:hAnsiTheme="majorBidi" w:cstheme="majorBidi"/>
          <w:sz w:val="24"/>
          <w:szCs w:val="24"/>
        </w:rPr>
        <w:t xml:space="preserve">ynthetic </w:t>
      </w:r>
      <w:r>
        <w:rPr>
          <w:rFonts w:asciiTheme="majorBidi" w:hAnsiTheme="majorBidi" w:cstheme="majorBidi"/>
          <w:sz w:val="24"/>
          <w:szCs w:val="24"/>
        </w:rPr>
        <w:t>C</w:t>
      </w:r>
      <w:r w:rsidRPr="000258D5">
        <w:rPr>
          <w:rFonts w:asciiTheme="majorBidi" w:hAnsiTheme="majorBidi" w:cstheme="majorBidi"/>
          <w:sz w:val="24"/>
          <w:szCs w:val="24"/>
        </w:rPr>
        <w:t xml:space="preserve">ontrol </w:t>
      </w:r>
      <w:r>
        <w:rPr>
          <w:rFonts w:asciiTheme="majorBidi" w:hAnsiTheme="majorBidi" w:cstheme="majorBidi"/>
          <w:sz w:val="24"/>
          <w:szCs w:val="24"/>
        </w:rPr>
        <w:t>M</w:t>
      </w:r>
      <w:r w:rsidRPr="000258D5">
        <w:rPr>
          <w:rFonts w:asciiTheme="majorBidi" w:hAnsiTheme="majorBidi" w:cstheme="majorBidi"/>
          <w:sz w:val="24"/>
          <w:szCs w:val="24"/>
        </w:rPr>
        <w:t>ethod</w:t>
      </w:r>
      <w:r w:rsidR="00181512">
        <w:rPr>
          <w:rFonts w:asciiTheme="majorBidi" w:hAnsiTheme="majorBidi" w:cstheme="majorBidi"/>
          <w:sz w:val="24"/>
          <w:szCs w:val="24"/>
        </w:rPr>
        <w:t xml:space="preserve"> (SCM)</w:t>
      </w:r>
      <w:r w:rsidRPr="000258D5">
        <w:rPr>
          <w:rFonts w:asciiTheme="majorBidi" w:hAnsiTheme="majorBidi" w:cstheme="majorBidi"/>
          <w:sz w:val="24"/>
          <w:szCs w:val="24"/>
        </w:rPr>
        <w:t>, an approach first proposed by Abadie and Gardeazabal (2003) and later refined by Abadie et al. (2010). The empirical analysis in this paper is guided by the methodological frameworks set out by Félix et al. (2017) and Spencer (2022). Data for unintentional drug overdose fatalities, derived from death certificates, is obtained from the CDC's WONDER system, spanning the period from January 2018 through September 2022.</w:t>
      </w:r>
    </w:p>
    <w:p w14:paraId="3021000D" w14:textId="77777777" w:rsidR="000258D5" w:rsidRDefault="000258D5" w:rsidP="000258D5">
      <w:pPr>
        <w:spacing w:line="360" w:lineRule="auto"/>
        <w:ind w:firstLine="720"/>
        <w:rPr>
          <w:rFonts w:asciiTheme="majorBidi" w:hAnsiTheme="majorBidi" w:cstheme="majorBidi"/>
          <w:sz w:val="24"/>
          <w:szCs w:val="24"/>
        </w:rPr>
      </w:pPr>
      <w:r w:rsidRPr="000258D5">
        <w:rPr>
          <w:rFonts w:asciiTheme="majorBidi" w:hAnsiTheme="majorBidi" w:cstheme="majorBidi"/>
          <w:sz w:val="24"/>
          <w:szCs w:val="24"/>
        </w:rPr>
        <w:t>Preliminary findings point towards an additional 528 overdose deaths in Oregon in the 20 months from March 2021 to October 2022, a 40% rise when compared to the synthetic Oregon estimate for the same period. The statistical significance of the treatment effect was ascertained via in-space placebo studies. Additionally, a comparison of the post/pre-Measure 110 MSPE ratios to Oregon’s across states in the donor pool, as if they had received the treatment in February 2021, suggests a likelihood of roughly 2.5% for obtaining a ratio as large as Oregon’s by chance. Multiple robustness checks, such as bias-correction synthetic control, leave-one-out-robustness, and in-time placebo tests, did not lead to substantial changes in the results.</w:t>
      </w:r>
    </w:p>
    <w:p w14:paraId="30D4183B" w14:textId="613B044E" w:rsidR="00C623D1" w:rsidRPr="006B14DF" w:rsidRDefault="00C623D1" w:rsidP="000258D5">
      <w:pPr>
        <w:spacing w:line="360" w:lineRule="auto"/>
        <w:ind w:firstLine="720"/>
        <w:rPr>
          <w:rFonts w:asciiTheme="majorBidi" w:hAnsiTheme="majorBidi" w:cstheme="majorBidi"/>
          <w:sz w:val="24"/>
          <w:szCs w:val="24"/>
        </w:rPr>
      </w:pPr>
      <w:r w:rsidRPr="006B14DF">
        <w:rPr>
          <w:rFonts w:asciiTheme="majorBidi" w:hAnsiTheme="majorBidi" w:cstheme="majorBidi"/>
          <w:sz w:val="24"/>
          <w:szCs w:val="24"/>
        </w:rPr>
        <w:t>The remainder of the paper is structured as follows: Section 2 describes Measure 110 and</w:t>
      </w:r>
    </w:p>
    <w:p w14:paraId="53B266F3" w14:textId="77777777" w:rsidR="00C623D1" w:rsidRPr="006B14DF" w:rsidRDefault="00C623D1" w:rsidP="00C333C6">
      <w:pPr>
        <w:spacing w:line="360" w:lineRule="auto"/>
        <w:rPr>
          <w:rFonts w:asciiTheme="majorBidi" w:hAnsiTheme="majorBidi" w:cstheme="majorBidi"/>
          <w:sz w:val="24"/>
          <w:szCs w:val="24"/>
        </w:rPr>
      </w:pPr>
      <w:r w:rsidRPr="006B14DF">
        <w:rPr>
          <w:rFonts w:asciiTheme="majorBidi" w:hAnsiTheme="majorBidi" w:cstheme="majorBidi"/>
          <w:sz w:val="24"/>
          <w:szCs w:val="24"/>
        </w:rPr>
        <w:t>previous literature, Section 3 describes the data, Section 4 explains the empirical strategy,</w:t>
      </w:r>
    </w:p>
    <w:p w14:paraId="7E24581B" w14:textId="5428C5B7" w:rsidR="00C623D1" w:rsidRPr="006B14DF" w:rsidRDefault="00C623D1" w:rsidP="00C333C6">
      <w:pPr>
        <w:spacing w:line="360" w:lineRule="auto"/>
        <w:rPr>
          <w:rFonts w:asciiTheme="majorBidi" w:hAnsiTheme="majorBidi" w:cstheme="majorBidi"/>
          <w:sz w:val="24"/>
          <w:szCs w:val="24"/>
        </w:rPr>
      </w:pPr>
      <w:r w:rsidRPr="006B14DF">
        <w:rPr>
          <w:rFonts w:asciiTheme="majorBidi" w:hAnsiTheme="majorBidi" w:cstheme="majorBidi"/>
          <w:sz w:val="24"/>
          <w:szCs w:val="24"/>
        </w:rPr>
        <w:t>Section 5 documents the results, and Section 6 concludes.</w:t>
      </w:r>
    </w:p>
    <w:p w14:paraId="1F4CBDB9" w14:textId="77777777" w:rsidR="00E1630C" w:rsidRPr="00E1630C" w:rsidRDefault="00E1630C" w:rsidP="00C333C6">
      <w:pPr>
        <w:spacing w:line="360" w:lineRule="auto"/>
        <w:rPr>
          <w:rFonts w:asciiTheme="majorBidi" w:hAnsiTheme="majorBidi" w:cstheme="majorBidi"/>
          <w:b/>
          <w:bCs/>
          <w:sz w:val="24"/>
          <w:szCs w:val="24"/>
        </w:rPr>
      </w:pPr>
    </w:p>
    <w:p w14:paraId="53551039" w14:textId="72CF8C78" w:rsidR="00C623D1" w:rsidRPr="00FE175E" w:rsidRDefault="00C623D1" w:rsidP="00C333C6">
      <w:pPr>
        <w:spacing w:line="360" w:lineRule="auto"/>
        <w:rPr>
          <w:rFonts w:asciiTheme="majorBidi" w:hAnsiTheme="majorBidi" w:cstheme="majorBidi"/>
          <w:b/>
          <w:bCs/>
          <w:sz w:val="28"/>
          <w:szCs w:val="28"/>
        </w:rPr>
      </w:pPr>
      <w:r w:rsidRPr="00FE175E">
        <w:rPr>
          <w:rFonts w:asciiTheme="majorBidi" w:hAnsiTheme="majorBidi" w:cstheme="majorBidi"/>
          <w:b/>
          <w:bCs/>
          <w:sz w:val="28"/>
          <w:szCs w:val="28"/>
        </w:rPr>
        <w:t>2. Measure 110 and Background</w:t>
      </w:r>
    </w:p>
    <w:p w14:paraId="015C43D6" w14:textId="77777777" w:rsidR="00C623D1" w:rsidRPr="00715078" w:rsidRDefault="00C623D1" w:rsidP="00C333C6">
      <w:pPr>
        <w:spacing w:line="360" w:lineRule="auto"/>
        <w:rPr>
          <w:rFonts w:asciiTheme="majorBidi" w:hAnsiTheme="majorBidi" w:cstheme="majorBidi"/>
          <w:color w:val="FF0000"/>
          <w:sz w:val="24"/>
          <w:szCs w:val="24"/>
        </w:rPr>
      </w:pPr>
      <w:r w:rsidRPr="00715078">
        <w:rPr>
          <w:rFonts w:asciiTheme="majorBidi" w:hAnsiTheme="majorBidi" w:cstheme="majorBidi"/>
          <w:b/>
          <w:bCs/>
          <w:sz w:val="24"/>
          <w:szCs w:val="24"/>
        </w:rPr>
        <w:t>2.1 Measure 110</w:t>
      </w:r>
    </w:p>
    <w:p w14:paraId="39E56B93" w14:textId="21D77365" w:rsidR="00460465" w:rsidRPr="00715078" w:rsidRDefault="00C623D1" w:rsidP="00C333C6">
      <w:pPr>
        <w:spacing w:line="360" w:lineRule="auto"/>
        <w:rPr>
          <w:rFonts w:asciiTheme="majorBidi" w:hAnsiTheme="majorBidi" w:cstheme="majorBidi"/>
          <w:sz w:val="24"/>
          <w:szCs w:val="24"/>
        </w:rPr>
      </w:pPr>
      <w:r w:rsidRPr="00715078">
        <w:rPr>
          <w:rFonts w:asciiTheme="majorBidi" w:hAnsiTheme="majorBidi" w:cstheme="majorBidi"/>
          <w:sz w:val="24"/>
          <w:szCs w:val="24"/>
        </w:rPr>
        <w:lastRenderedPageBreak/>
        <w:t xml:space="preserve">In the November 2020 elections, Oregon voters passed Measure 110, also known as The Drug Addiction Treatment and Recovery Act. </w:t>
      </w:r>
      <w:bookmarkStart w:id="1" w:name="_Hlk135563988"/>
      <w:r w:rsidRPr="00715078">
        <w:rPr>
          <w:rFonts w:asciiTheme="majorBidi" w:hAnsiTheme="majorBidi" w:cstheme="majorBidi"/>
          <w:sz w:val="24"/>
          <w:szCs w:val="24"/>
        </w:rPr>
        <w:t>This ballot measure became law on 1 February 2021</w:t>
      </w:r>
      <w:r w:rsidR="000939AE">
        <w:rPr>
          <w:rFonts w:asciiTheme="majorBidi" w:hAnsiTheme="majorBidi" w:cstheme="majorBidi"/>
          <w:sz w:val="24"/>
          <w:szCs w:val="24"/>
        </w:rPr>
        <w:t xml:space="preserve">, making </w:t>
      </w:r>
      <w:r w:rsidRPr="00715078">
        <w:rPr>
          <w:rFonts w:asciiTheme="majorBidi" w:hAnsiTheme="majorBidi" w:cstheme="majorBidi"/>
          <w:sz w:val="24"/>
          <w:szCs w:val="24"/>
        </w:rPr>
        <w:t xml:space="preserve">Oregon the first US state to decriminalize the possession of small amounts of all drugs (Oregon Legislative Policy and Research Office, 2020; Towles, 2022). </w:t>
      </w:r>
      <w:bookmarkEnd w:id="1"/>
      <w:r w:rsidRPr="00715078">
        <w:rPr>
          <w:rFonts w:asciiTheme="majorBidi" w:hAnsiTheme="majorBidi" w:cstheme="majorBidi"/>
          <w:sz w:val="24"/>
          <w:szCs w:val="24"/>
        </w:rPr>
        <w:t>Measure 110 reclassifies those small possession charges to a class E civil violation, associated with a $100 fine that can be waived if the charged person contacts a helpline or recovery center about other treatments (Oregon Legislative Policy and Research Office, 2020; Towles, 2022). In addition to reclassifying possession charges, Measure 110 establishes funding for an addiction and drug treatment program in Oregon through use of state Marijuana taxes and savings from reduced spending on law enforcement (Oregon Legislative Policy and Research Office, 2020; Towles, 2022). The addiction treatment services include funding for Behavioral Health Resource Networks which provide intensive case management, linkage to care and services, peer support, and mobile or virtual outreach.</w:t>
      </w:r>
      <w:r w:rsidR="00460465">
        <w:rPr>
          <w:rFonts w:asciiTheme="majorBidi" w:hAnsiTheme="majorBidi" w:cstheme="majorBidi"/>
          <w:sz w:val="24"/>
          <w:szCs w:val="24"/>
        </w:rPr>
        <w:t xml:space="preserve"> </w:t>
      </w:r>
    </w:p>
    <w:p w14:paraId="4A958C7E" w14:textId="77777777" w:rsidR="00C623D1" w:rsidRPr="00715078" w:rsidRDefault="00C623D1" w:rsidP="00C333C6">
      <w:pPr>
        <w:spacing w:line="360" w:lineRule="auto"/>
        <w:ind w:firstLine="720"/>
        <w:rPr>
          <w:rFonts w:asciiTheme="majorBidi" w:hAnsiTheme="majorBidi" w:cstheme="majorBidi"/>
          <w:sz w:val="24"/>
          <w:szCs w:val="24"/>
        </w:rPr>
      </w:pPr>
      <w:r w:rsidRPr="00715078">
        <w:rPr>
          <w:rFonts w:asciiTheme="majorBidi" w:hAnsiTheme="majorBidi" w:cstheme="majorBidi"/>
          <w:sz w:val="24"/>
          <w:szCs w:val="24"/>
        </w:rPr>
        <w:t>Opponents to Measure 110 argue that criminality serves to reduce the incentive to do drugs, which can be associated with various adverse health effects such as overdose deaths, HIV and Hepatitis C infections, heart value infections, skin-grafts, domestic violence, suicide, loss of child-custody, and social isolation (Towles, 2022). Addiction reduces cognitive ability, which can be in turn associated with many damaging impacts such as increased rates of other crimes.</w:t>
      </w:r>
    </w:p>
    <w:p w14:paraId="7E93326D" w14:textId="02800A88" w:rsidR="00964F82" w:rsidRPr="00964F82" w:rsidRDefault="00C623D1" w:rsidP="00C333C6">
      <w:pPr>
        <w:spacing w:line="360" w:lineRule="auto"/>
        <w:rPr>
          <w:rFonts w:asciiTheme="majorBidi" w:hAnsiTheme="majorBidi" w:cstheme="majorBidi"/>
          <w:b/>
          <w:bCs/>
          <w:sz w:val="24"/>
          <w:szCs w:val="24"/>
        </w:rPr>
      </w:pPr>
      <w:r w:rsidRPr="00715078">
        <w:rPr>
          <w:rFonts w:asciiTheme="majorBidi" w:hAnsiTheme="majorBidi" w:cstheme="majorBidi"/>
          <w:b/>
          <w:bCs/>
          <w:sz w:val="24"/>
          <w:szCs w:val="24"/>
        </w:rPr>
        <w:t>2.2 Related Literature</w:t>
      </w:r>
    </w:p>
    <w:p w14:paraId="3D72A128" w14:textId="1147CC0E" w:rsidR="00964F82" w:rsidRDefault="00BD76CF" w:rsidP="00C333C6">
      <w:pPr>
        <w:spacing w:line="360" w:lineRule="auto"/>
        <w:rPr>
          <w:rFonts w:asciiTheme="majorBidi" w:hAnsiTheme="majorBidi" w:cstheme="majorBidi"/>
          <w:sz w:val="24"/>
          <w:szCs w:val="24"/>
        </w:rPr>
      </w:pPr>
      <w:r>
        <w:rPr>
          <w:rFonts w:asciiTheme="majorBidi" w:hAnsiTheme="majorBidi" w:cstheme="majorBidi"/>
          <w:sz w:val="24"/>
          <w:szCs w:val="24"/>
        </w:rPr>
        <w:t>The l</w:t>
      </w:r>
      <w:r w:rsidR="005766FB">
        <w:rPr>
          <w:rFonts w:asciiTheme="majorBidi" w:hAnsiTheme="majorBidi" w:cstheme="majorBidi"/>
          <w:sz w:val="24"/>
          <w:szCs w:val="24"/>
        </w:rPr>
        <w:t>iterature on drivers of drug use</w:t>
      </w:r>
      <w:r>
        <w:rPr>
          <w:rFonts w:asciiTheme="majorBidi" w:hAnsiTheme="majorBidi" w:cstheme="majorBidi"/>
          <w:sz w:val="24"/>
          <w:szCs w:val="24"/>
        </w:rPr>
        <w:t xml:space="preserve"> reaches many different fields and</w:t>
      </w:r>
      <w:r w:rsidR="00264BA5">
        <w:rPr>
          <w:rFonts w:asciiTheme="majorBidi" w:hAnsiTheme="majorBidi" w:cstheme="majorBidi"/>
          <w:sz w:val="24"/>
          <w:szCs w:val="24"/>
        </w:rPr>
        <w:t xml:space="preserve"> studies various</w:t>
      </w:r>
      <w:r>
        <w:rPr>
          <w:rFonts w:asciiTheme="majorBidi" w:hAnsiTheme="majorBidi" w:cstheme="majorBidi"/>
          <w:sz w:val="24"/>
          <w:szCs w:val="24"/>
        </w:rPr>
        <w:t xml:space="preserve"> types of factors that can contribute to drug use. An influential view was posited by Becker and Murphy (1988) in their seminal work on the theory of rational addiction. Considering PWUD as rational consumers maximizing utility over an intertemporal budget constraint, Becker and Murphy (1988) find that drug use is rational when viewed from the preferences of an addict weighing short term pleasure against long term downsides.</w:t>
      </w:r>
      <w:r w:rsidR="00F31F2B">
        <w:rPr>
          <w:rFonts w:asciiTheme="majorBidi" w:hAnsiTheme="majorBidi" w:cstheme="majorBidi"/>
          <w:sz w:val="24"/>
          <w:szCs w:val="24"/>
        </w:rPr>
        <w:t xml:space="preserve"> Past experience with drug use would increase the preference for drug use, altering the rational decision. A decade later, </w:t>
      </w:r>
      <w:r w:rsidR="00F31F2B" w:rsidRPr="00F31F2B">
        <w:rPr>
          <w:rFonts w:asciiTheme="majorBidi" w:hAnsiTheme="majorBidi" w:cstheme="majorBidi"/>
          <w:sz w:val="24"/>
          <w:szCs w:val="24"/>
        </w:rPr>
        <w:t>Saffer and Chaloupka (1999)</w:t>
      </w:r>
      <w:r w:rsidR="00F31F2B">
        <w:rPr>
          <w:rFonts w:asciiTheme="majorBidi" w:hAnsiTheme="majorBidi" w:cstheme="majorBidi"/>
          <w:sz w:val="24"/>
          <w:szCs w:val="24"/>
        </w:rPr>
        <w:t xml:space="preserve"> empirically study the demand for illicit drugs and find that increases in an illegal drug’s price can decrease its demand as well as that decriminalization of cannabis can increase cannabis demand. </w:t>
      </w:r>
      <w:r w:rsidR="00840641">
        <w:rPr>
          <w:rFonts w:asciiTheme="majorBidi" w:hAnsiTheme="majorBidi" w:cstheme="majorBidi"/>
          <w:sz w:val="24"/>
          <w:szCs w:val="24"/>
        </w:rPr>
        <w:t>Established</w:t>
      </w:r>
      <w:r w:rsidR="00F31F2B">
        <w:rPr>
          <w:rFonts w:asciiTheme="majorBidi" w:hAnsiTheme="majorBidi" w:cstheme="majorBidi"/>
          <w:sz w:val="24"/>
          <w:szCs w:val="24"/>
        </w:rPr>
        <w:t xml:space="preserve"> economic research </w:t>
      </w:r>
      <w:r w:rsidR="00840641">
        <w:rPr>
          <w:rFonts w:asciiTheme="majorBidi" w:hAnsiTheme="majorBidi" w:cstheme="majorBidi"/>
          <w:sz w:val="24"/>
          <w:szCs w:val="24"/>
        </w:rPr>
        <w:t>demonstrates</w:t>
      </w:r>
      <w:r w:rsidR="00F31F2B">
        <w:rPr>
          <w:rFonts w:asciiTheme="majorBidi" w:hAnsiTheme="majorBidi" w:cstheme="majorBidi"/>
          <w:sz w:val="24"/>
          <w:szCs w:val="24"/>
        </w:rPr>
        <w:t xml:space="preserve"> </w:t>
      </w:r>
      <w:r w:rsidR="00840641">
        <w:rPr>
          <w:rFonts w:asciiTheme="majorBidi" w:hAnsiTheme="majorBidi" w:cstheme="majorBidi"/>
          <w:sz w:val="24"/>
          <w:szCs w:val="24"/>
        </w:rPr>
        <w:t xml:space="preserve">drug use as </w:t>
      </w:r>
      <w:r w:rsidR="00F31F2B">
        <w:rPr>
          <w:rFonts w:asciiTheme="majorBidi" w:hAnsiTheme="majorBidi" w:cstheme="majorBidi"/>
          <w:sz w:val="24"/>
          <w:szCs w:val="24"/>
        </w:rPr>
        <w:t>consumer behavior responding to preferences and economic incentives</w:t>
      </w:r>
      <w:r w:rsidR="00840641">
        <w:rPr>
          <w:rFonts w:asciiTheme="majorBidi" w:hAnsiTheme="majorBidi" w:cstheme="majorBidi"/>
          <w:sz w:val="24"/>
          <w:szCs w:val="24"/>
        </w:rPr>
        <w:t>.</w:t>
      </w:r>
    </w:p>
    <w:p w14:paraId="4D1282E6" w14:textId="387BD501" w:rsidR="00586CDD" w:rsidRDefault="00586CDD" w:rsidP="00C333C6">
      <w:pPr>
        <w:spacing w:line="360" w:lineRule="auto"/>
        <w:rPr>
          <w:rFonts w:asciiTheme="majorBidi" w:hAnsiTheme="majorBidi" w:cstheme="majorBidi"/>
          <w:sz w:val="24"/>
          <w:szCs w:val="24"/>
        </w:rPr>
      </w:pPr>
      <w:r>
        <w:rPr>
          <w:rFonts w:asciiTheme="majorBidi" w:hAnsiTheme="majorBidi" w:cstheme="majorBidi"/>
          <w:sz w:val="24"/>
          <w:szCs w:val="24"/>
        </w:rPr>
        <w:lastRenderedPageBreak/>
        <w:tab/>
        <w:t xml:space="preserve">Beyond individual reasons for drug use, the broader and more recent literature emphasize three additional categories of factors that drive drug use: relational, societal, and contextual. </w:t>
      </w:r>
      <w:r w:rsidRPr="00586CDD">
        <w:rPr>
          <w:rFonts w:asciiTheme="majorBidi" w:hAnsiTheme="majorBidi" w:cstheme="majorBidi"/>
          <w:sz w:val="24"/>
          <w:szCs w:val="24"/>
        </w:rPr>
        <w:t xml:space="preserve">Galea, Nandi, and Vlahov (2004) </w:t>
      </w:r>
      <w:r>
        <w:rPr>
          <w:rFonts w:asciiTheme="majorBidi" w:hAnsiTheme="majorBidi" w:cstheme="majorBidi"/>
          <w:sz w:val="24"/>
          <w:szCs w:val="24"/>
        </w:rPr>
        <w:t>emphasize th</w:t>
      </w:r>
      <w:r w:rsidRPr="00586CDD">
        <w:rPr>
          <w:rFonts w:asciiTheme="majorBidi" w:hAnsiTheme="majorBidi" w:cstheme="majorBidi"/>
          <w:sz w:val="24"/>
          <w:szCs w:val="24"/>
        </w:rPr>
        <w:t>e social epidemiology of substance use</w:t>
      </w:r>
      <w:r>
        <w:rPr>
          <w:rFonts w:asciiTheme="majorBidi" w:hAnsiTheme="majorBidi" w:cstheme="majorBidi"/>
          <w:sz w:val="24"/>
          <w:szCs w:val="24"/>
        </w:rPr>
        <w:t xml:space="preserve">, </w:t>
      </w:r>
      <w:r w:rsidRPr="00586CDD">
        <w:rPr>
          <w:rFonts w:asciiTheme="majorBidi" w:hAnsiTheme="majorBidi" w:cstheme="majorBidi"/>
          <w:sz w:val="24"/>
          <w:szCs w:val="24"/>
        </w:rPr>
        <w:t>argu</w:t>
      </w:r>
      <w:r>
        <w:rPr>
          <w:rFonts w:asciiTheme="majorBidi" w:hAnsiTheme="majorBidi" w:cstheme="majorBidi"/>
          <w:sz w:val="24"/>
          <w:szCs w:val="24"/>
        </w:rPr>
        <w:t>ing</w:t>
      </w:r>
      <w:r w:rsidRPr="00586CDD">
        <w:rPr>
          <w:rFonts w:asciiTheme="majorBidi" w:hAnsiTheme="majorBidi" w:cstheme="majorBidi"/>
          <w:sz w:val="24"/>
          <w:szCs w:val="24"/>
        </w:rPr>
        <w:t xml:space="preserve"> that substance use patterns are significantly influenced by sociodemographic and environmental factors, such as socioeconomic status and the social environment in which individuals live.</w:t>
      </w:r>
      <w:r w:rsidR="00CF5CDE">
        <w:rPr>
          <w:rFonts w:asciiTheme="majorBidi" w:hAnsiTheme="majorBidi" w:cstheme="majorBidi"/>
          <w:sz w:val="24"/>
          <w:szCs w:val="24"/>
        </w:rPr>
        <w:t xml:space="preserve"> Research in recent years has turned its attention more towards the growing health priority of substance use among young people (</w:t>
      </w:r>
      <w:r w:rsidR="00CF5CDE" w:rsidRPr="00CF5CDE">
        <w:rPr>
          <w:rFonts w:asciiTheme="majorBidi" w:hAnsiTheme="majorBidi" w:cstheme="majorBidi"/>
          <w:sz w:val="24"/>
          <w:szCs w:val="24"/>
        </w:rPr>
        <w:t>Degenhardt et al.</w:t>
      </w:r>
      <w:r w:rsidR="00CF5CDE">
        <w:rPr>
          <w:rFonts w:asciiTheme="majorBidi" w:hAnsiTheme="majorBidi" w:cstheme="majorBidi"/>
          <w:sz w:val="24"/>
          <w:szCs w:val="24"/>
        </w:rPr>
        <w:t xml:space="preserve">, </w:t>
      </w:r>
      <w:r w:rsidR="00CF5CDE" w:rsidRPr="00CF5CDE">
        <w:rPr>
          <w:rFonts w:asciiTheme="majorBidi" w:hAnsiTheme="majorBidi" w:cstheme="majorBidi"/>
          <w:sz w:val="24"/>
          <w:szCs w:val="24"/>
        </w:rPr>
        <w:t>2016)</w:t>
      </w:r>
      <w:r w:rsidR="00CF5CDE">
        <w:rPr>
          <w:rFonts w:asciiTheme="majorBidi" w:hAnsiTheme="majorBidi" w:cstheme="majorBidi"/>
          <w:sz w:val="24"/>
          <w:szCs w:val="24"/>
        </w:rPr>
        <w:t>.</w:t>
      </w:r>
      <w:r w:rsidR="00CF5CDE" w:rsidRPr="00CF5CDE">
        <w:rPr>
          <w:rFonts w:asciiTheme="majorBidi" w:hAnsiTheme="majorBidi" w:cstheme="majorBidi"/>
          <w:sz w:val="24"/>
          <w:szCs w:val="24"/>
        </w:rPr>
        <w:t xml:space="preserve"> </w:t>
      </w:r>
      <w:r w:rsidR="00D514CF">
        <w:rPr>
          <w:rFonts w:asciiTheme="majorBidi" w:hAnsiTheme="majorBidi" w:cstheme="majorBidi"/>
          <w:sz w:val="24"/>
          <w:szCs w:val="24"/>
        </w:rPr>
        <w:t>When someone uses substances at a young age, it</w:t>
      </w:r>
      <w:r w:rsidR="00CF5CDE" w:rsidRPr="00CF5CDE">
        <w:rPr>
          <w:rFonts w:asciiTheme="majorBidi" w:hAnsiTheme="majorBidi" w:cstheme="majorBidi"/>
          <w:sz w:val="24"/>
          <w:szCs w:val="24"/>
        </w:rPr>
        <w:t xml:space="preserve"> can lead to a higher likelihood of developing substance use disorders later in life</w:t>
      </w:r>
      <w:r w:rsidR="00D514CF">
        <w:rPr>
          <w:rFonts w:asciiTheme="majorBidi" w:hAnsiTheme="majorBidi" w:cstheme="majorBidi"/>
          <w:sz w:val="24"/>
          <w:szCs w:val="24"/>
        </w:rPr>
        <w:t xml:space="preserve"> (</w:t>
      </w:r>
      <w:r w:rsidR="00D514CF" w:rsidRPr="00CF5CDE">
        <w:rPr>
          <w:rFonts w:asciiTheme="majorBidi" w:hAnsiTheme="majorBidi" w:cstheme="majorBidi"/>
          <w:sz w:val="24"/>
          <w:szCs w:val="24"/>
        </w:rPr>
        <w:t>Degenhardt et al.</w:t>
      </w:r>
      <w:r w:rsidR="00D514CF">
        <w:rPr>
          <w:rFonts w:asciiTheme="majorBidi" w:hAnsiTheme="majorBidi" w:cstheme="majorBidi"/>
          <w:sz w:val="24"/>
          <w:szCs w:val="24"/>
        </w:rPr>
        <w:t xml:space="preserve">, </w:t>
      </w:r>
      <w:r w:rsidR="00D514CF" w:rsidRPr="00CF5CDE">
        <w:rPr>
          <w:rFonts w:asciiTheme="majorBidi" w:hAnsiTheme="majorBidi" w:cstheme="majorBidi"/>
          <w:sz w:val="24"/>
          <w:szCs w:val="24"/>
        </w:rPr>
        <w:t>2016)</w:t>
      </w:r>
      <w:r w:rsidR="00D514CF">
        <w:rPr>
          <w:rFonts w:asciiTheme="majorBidi" w:hAnsiTheme="majorBidi" w:cstheme="majorBidi"/>
          <w:sz w:val="24"/>
          <w:szCs w:val="24"/>
        </w:rPr>
        <w:t>. T</w:t>
      </w:r>
      <w:r w:rsidR="00CF5CDE" w:rsidRPr="00CF5CDE">
        <w:rPr>
          <w:rFonts w:asciiTheme="majorBidi" w:hAnsiTheme="majorBidi" w:cstheme="majorBidi"/>
          <w:sz w:val="24"/>
          <w:szCs w:val="24"/>
        </w:rPr>
        <w:t xml:space="preserve">he onset of substance use </w:t>
      </w:r>
      <w:r w:rsidR="00D514CF">
        <w:rPr>
          <w:rFonts w:asciiTheme="majorBidi" w:hAnsiTheme="majorBidi" w:cstheme="majorBidi"/>
          <w:sz w:val="24"/>
          <w:szCs w:val="24"/>
        </w:rPr>
        <w:t>appears</w:t>
      </w:r>
      <w:r w:rsidR="00CF5CDE" w:rsidRPr="00CF5CDE">
        <w:rPr>
          <w:rFonts w:asciiTheme="majorBidi" w:hAnsiTheme="majorBidi" w:cstheme="majorBidi"/>
          <w:sz w:val="24"/>
          <w:szCs w:val="24"/>
        </w:rPr>
        <w:t xml:space="preserve"> largely influenced by social factors such as peer influence and family background</w:t>
      </w:r>
      <w:r w:rsidR="00D514CF">
        <w:rPr>
          <w:rFonts w:asciiTheme="majorBidi" w:hAnsiTheme="majorBidi" w:cstheme="majorBidi"/>
          <w:sz w:val="24"/>
          <w:szCs w:val="24"/>
        </w:rPr>
        <w:t xml:space="preserve"> (</w:t>
      </w:r>
      <w:r w:rsidR="00D514CF" w:rsidRPr="00CF5CDE">
        <w:rPr>
          <w:rFonts w:asciiTheme="majorBidi" w:hAnsiTheme="majorBidi" w:cstheme="majorBidi"/>
          <w:sz w:val="24"/>
          <w:szCs w:val="24"/>
        </w:rPr>
        <w:t>Degenhardt et al.</w:t>
      </w:r>
      <w:r w:rsidR="00D514CF">
        <w:rPr>
          <w:rFonts w:asciiTheme="majorBidi" w:hAnsiTheme="majorBidi" w:cstheme="majorBidi"/>
          <w:sz w:val="24"/>
          <w:szCs w:val="24"/>
        </w:rPr>
        <w:t xml:space="preserve">, </w:t>
      </w:r>
      <w:r w:rsidR="00D514CF" w:rsidRPr="00CF5CDE">
        <w:rPr>
          <w:rFonts w:asciiTheme="majorBidi" w:hAnsiTheme="majorBidi" w:cstheme="majorBidi"/>
          <w:sz w:val="24"/>
          <w:szCs w:val="24"/>
        </w:rPr>
        <w:t>2016)</w:t>
      </w:r>
      <w:r w:rsidR="00D514CF">
        <w:rPr>
          <w:rFonts w:asciiTheme="majorBidi" w:hAnsiTheme="majorBidi" w:cstheme="majorBidi"/>
          <w:sz w:val="24"/>
          <w:szCs w:val="24"/>
        </w:rPr>
        <w:t>.</w:t>
      </w:r>
      <w:r w:rsidR="004C021C">
        <w:rPr>
          <w:rFonts w:asciiTheme="majorBidi" w:hAnsiTheme="majorBidi" w:cstheme="majorBidi"/>
          <w:sz w:val="24"/>
          <w:szCs w:val="24"/>
        </w:rPr>
        <w:t xml:space="preserve"> Which such </w:t>
      </w:r>
      <w:r w:rsidR="00D6214D">
        <w:rPr>
          <w:rFonts w:asciiTheme="majorBidi" w:hAnsiTheme="majorBidi" w:cstheme="majorBidi"/>
          <w:sz w:val="24"/>
          <w:szCs w:val="24"/>
        </w:rPr>
        <w:t>wide-ranging</w:t>
      </w:r>
      <w:r w:rsidR="004C021C">
        <w:rPr>
          <w:rFonts w:asciiTheme="majorBidi" w:hAnsiTheme="majorBidi" w:cstheme="majorBidi"/>
          <w:sz w:val="24"/>
          <w:szCs w:val="24"/>
        </w:rPr>
        <w:t xml:space="preserve"> factors contributing to drug use, many different responses to substance use have been used or proposed throughout globe.</w:t>
      </w:r>
    </w:p>
    <w:p w14:paraId="1722F47C" w14:textId="760BCADE" w:rsidR="00C623D1" w:rsidRPr="00715078" w:rsidRDefault="00C623D1" w:rsidP="00C333C6">
      <w:pPr>
        <w:spacing w:line="360" w:lineRule="auto"/>
        <w:ind w:firstLine="720"/>
        <w:rPr>
          <w:rFonts w:asciiTheme="majorBidi" w:hAnsiTheme="majorBidi" w:cstheme="majorBidi"/>
          <w:sz w:val="24"/>
          <w:szCs w:val="24"/>
        </w:rPr>
      </w:pPr>
      <w:r w:rsidRPr="00715078">
        <w:rPr>
          <w:rFonts w:asciiTheme="majorBidi" w:hAnsiTheme="majorBidi" w:cstheme="majorBidi"/>
          <w:sz w:val="24"/>
          <w:szCs w:val="24"/>
        </w:rPr>
        <w:t>Oregon's Measure 110 is not the first policy aimed at reducing drug-related harm and overdose deaths in the United States. In recent years, addressing the overdose epidemic, several states have implemented policies to reduce opioid abuse and overdose deaths, such as prescription drug monitoring programs and naloxone access laws. Research has shown that these policies have been effective in reducing opioid-related deaths (Delcher et al., 2015; Patrick et al., 2016; Smart et al., 2021). PDMPs are electronic databases that track controlled substance prescriptions in a state. The goal of PDMPs is to prevent over-prescribing and doctor shopping, which drive the opioid epidemic.</w:t>
      </w:r>
    </w:p>
    <w:p w14:paraId="330A04CD" w14:textId="3DEFAF63" w:rsidR="00C623D1" w:rsidRPr="00715078" w:rsidRDefault="00C623D1" w:rsidP="00C333C6">
      <w:pPr>
        <w:spacing w:line="360" w:lineRule="auto"/>
        <w:ind w:firstLine="720"/>
        <w:rPr>
          <w:rFonts w:asciiTheme="majorBidi" w:hAnsiTheme="majorBidi" w:cstheme="majorBidi"/>
          <w:sz w:val="24"/>
          <w:szCs w:val="24"/>
        </w:rPr>
      </w:pPr>
      <w:r w:rsidRPr="00715078">
        <w:rPr>
          <w:rFonts w:asciiTheme="majorBidi" w:hAnsiTheme="majorBidi" w:cstheme="majorBidi"/>
          <w:sz w:val="24"/>
          <w:szCs w:val="24"/>
        </w:rPr>
        <w:t>Research also shows that syringe service programs (SEPs) can reduce HIV and Hepatitis C infection as well as overdose death, without increasing drug use or crime (Jarlais et al., 2015; Strathdee et al., 2006). Although, there is evidence that focusing accessibility in urban areas may have left rural and suburban people behind (Jarlais et al., 2015). Moreover, recent analysis using administrative data found that SEPs may increase opioid-related deaths, especially in rural areas and areas that suffer from fentanyl use before the implementation of the SEP (Packham, 2022). Harm reduction policies, which do not directly work to reduce drug use but rather associated harms, have been shown to be effective at reducing health issues of drug use while not increasing drug use</w:t>
      </w:r>
      <w:r w:rsidR="00750D09">
        <w:rPr>
          <w:rFonts w:asciiTheme="majorBidi" w:hAnsiTheme="majorBidi" w:cstheme="majorBidi"/>
          <w:sz w:val="24"/>
          <w:szCs w:val="24"/>
        </w:rPr>
        <w:t xml:space="preserve"> (</w:t>
      </w:r>
      <w:r w:rsidR="00750D09" w:rsidRPr="00715078">
        <w:rPr>
          <w:rFonts w:asciiTheme="majorBidi" w:hAnsiTheme="majorBidi" w:cstheme="majorBidi"/>
          <w:sz w:val="24"/>
          <w:szCs w:val="24"/>
        </w:rPr>
        <w:t>Strathdee et al., 2006</w:t>
      </w:r>
      <w:r w:rsidR="00750D09">
        <w:rPr>
          <w:rFonts w:asciiTheme="majorBidi" w:hAnsiTheme="majorBidi" w:cstheme="majorBidi"/>
          <w:sz w:val="24"/>
          <w:szCs w:val="24"/>
        </w:rPr>
        <w:t xml:space="preserve">; </w:t>
      </w:r>
      <w:r w:rsidR="00750D09" w:rsidRPr="00715078">
        <w:rPr>
          <w:rFonts w:asciiTheme="majorBidi" w:hAnsiTheme="majorBidi" w:cstheme="majorBidi"/>
          <w:sz w:val="24"/>
          <w:szCs w:val="24"/>
        </w:rPr>
        <w:t>Delcher et al., 2015; Jarlais et al., 2015</w:t>
      </w:r>
      <w:r w:rsidR="00750D09">
        <w:rPr>
          <w:rFonts w:asciiTheme="majorBidi" w:hAnsiTheme="majorBidi" w:cstheme="majorBidi"/>
          <w:sz w:val="24"/>
          <w:szCs w:val="24"/>
        </w:rPr>
        <w:t xml:space="preserve">; </w:t>
      </w:r>
      <w:r w:rsidR="00750D09" w:rsidRPr="00715078">
        <w:rPr>
          <w:rFonts w:asciiTheme="majorBidi" w:hAnsiTheme="majorBidi" w:cstheme="majorBidi"/>
          <w:sz w:val="24"/>
          <w:szCs w:val="24"/>
        </w:rPr>
        <w:t>Patrick et al., 2016; Smart et al., 2021</w:t>
      </w:r>
      <w:r w:rsidR="00750D09">
        <w:rPr>
          <w:rFonts w:asciiTheme="majorBidi" w:hAnsiTheme="majorBidi" w:cstheme="majorBidi"/>
          <w:sz w:val="24"/>
          <w:szCs w:val="24"/>
        </w:rPr>
        <w:t xml:space="preserve">; </w:t>
      </w:r>
      <w:r w:rsidR="00750D09" w:rsidRPr="00715078">
        <w:rPr>
          <w:rFonts w:asciiTheme="majorBidi" w:hAnsiTheme="majorBidi" w:cstheme="majorBidi"/>
          <w:sz w:val="24"/>
          <w:szCs w:val="24"/>
        </w:rPr>
        <w:t>Packham, 2022</w:t>
      </w:r>
      <w:r w:rsidR="00750D09">
        <w:rPr>
          <w:rFonts w:asciiTheme="majorBidi" w:hAnsiTheme="majorBidi" w:cstheme="majorBidi"/>
          <w:sz w:val="24"/>
          <w:szCs w:val="24"/>
        </w:rPr>
        <w:t>)</w:t>
      </w:r>
      <w:r w:rsidRPr="00715078">
        <w:rPr>
          <w:rFonts w:asciiTheme="majorBidi" w:hAnsiTheme="majorBidi" w:cstheme="majorBidi"/>
          <w:sz w:val="24"/>
          <w:szCs w:val="24"/>
        </w:rPr>
        <w:t>.</w:t>
      </w:r>
    </w:p>
    <w:p w14:paraId="2266F874" w14:textId="77777777" w:rsidR="00C623D1" w:rsidRPr="00715078" w:rsidRDefault="00C623D1" w:rsidP="00C333C6">
      <w:pPr>
        <w:spacing w:line="360" w:lineRule="auto"/>
        <w:ind w:firstLine="720"/>
        <w:rPr>
          <w:rFonts w:asciiTheme="majorBidi" w:hAnsiTheme="majorBidi" w:cstheme="majorBidi"/>
          <w:sz w:val="24"/>
          <w:szCs w:val="24"/>
        </w:rPr>
      </w:pPr>
      <w:r w:rsidRPr="00715078">
        <w:rPr>
          <w:rFonts w:asciiTheme="majorBidi" w:hAnsiTheme="majorBidi" w:cstheme="majorBidi"/>
          <w:sz w:val="24"/>
          <w:szCs w:val="24"/>
        </w:rPr>
        <w:lastRenderedPageBreak/>
        <w:t>Various types of drug treatment policies have been attempted which work to stop or end drug usage in the patient entirely. Methadone maintenance therapy is more effective in reducing drug use and mortality than no opioid replacement therapy (Mattick et al., 2009). Other policies have been implemented such as Good Samaritan laws, but due to longstanding systemic racism and distrust some policies such as these may fail to garner the trust desired from PWUDs (Pamplin, et al., 2023). These drug treatment techniques can inform my analysis of Measure 110.</w:t>
      </w:r>
    </w:p>
    <w:p w14:paraId="635634A8" w14:textId="77777777" w:rsidR="00C623D1" w:rsidRPr="00715078" w:rsidRDefault="00C623D1" w:rsidP="00C333C6">
      <w:pPr>
        <w:spacing w:line="360" w:lineRule="auto"/>
        <w:ind w:firstLine="720"/>
        <w:rPr>
          <w:rFonts w:asciiTheme="majorBidi" w:hAnsiTheme="majorBidi" w:cstheme="majorBidi"/>
          <w:sz w:val="24"/>
          <w:szCs w:val="24"/>
        </w:rPr>
      </w:pPr>
      <w:r w:rsidRPr="00715078">
        <w:rPr>
          <w:rFonts w:asciiTheme="majorBidi" w:hAnsiTheme="majorBidi" w:cstheme="majorBidi"/>
          <w:sz w:val="24"/>
          <w:szCs w:val="24"/>
        </w:rPr>
        <w:t>Medical marijuana has seen a quick and broad rise in its legality in the US, and a large literature exists examining its impacts. Analyzing survey data to investigate marijuana decriminalization’s impact on youth attitudes in California 2007-2013 suggest that marijuana decriminalization increased 12th graders in 2012 and 2013’s use of marijuana as well as reduced their disapproval rates of marijuana (Miech, et al., 2009). On the other hand, using a difference-in-differences framework to analyze CDC survey data revealed that medical marijuana legalization did not impact youth consumption rates (Choo, et. al., 2014). Although economic theory implies that decriminalization would change the incentives around drug use—leading to an increase in drug use after decriminalization—results from marijuana decriminalization and medical legalization show that decriminalization may not necessarily increase use.</w:t>
      </w:r>
    </w:p>
    <w:p w14:paraId="7D2F0BE9" w14:textId="4E5F55F5" w:rsidR="00C623D1" w:rsidRDefault="00C623D1" w:rsidP="00C333C6">
      <w:pPr>
        <w:spacing w:line="360" w:lineRule="auto"/>
        <w:ind w:firstLine="720"/>
        <w:rPr>
          <w:rFonts w:asciiTheme="majorBidi" w:hAnsiTheme="majorBidi" w:cstheme="majorBidi"/>
          <w:sz w:val="24"/>
          <w:szCs w:val="24"/>
        </w:rPr>
      </w:pPr>
      <w:r w:rsidRPr="00715078">
        <w:rPr>
          <w:rFonts w:asciiTheme="majorBidi" w:hAnsiTheme="majorBidi" w:cstheme="majorBidi"/>
          <w:sz w:val="24"/>
          <w:szCs w:val="24"/>
        </w:rPr>
        <w:t xml:space="preserve">Internationally, Portugal represents a model for drug decriminalization policies. In 2001, Portugal decriminalized the possession of all drugs while also redirecting funding from criminal justice to healthcare services—increasing treatment access. Since then, the country has seen a significant decrease in drug-related deaths and HIV infections and an increase in the number of people seeking treatment for addiction (Greenwald, 2009). Surprisingly, few studies have been conducted to estimate causal impacts of broad drug decriminalization. Félix et al. (2017) studied Portugal using the </w:t>
      </w:r>
      <w:r w:rsidR="00181512">
        <w:rPr>
          <w:rFonts w:asciiTheme="majorBidi" w:hAnsiTheme="majorBidi" w:cstheme="majorBidi"/>
          <w:sz w:val="24"/>
          <w:szCs w:val="24"/>
        </w:rPr>
        <w:t>SCM</w:t>
      </w:r>
      <w:r w:rsidRPr="00715078">
        <w:rPr>
          <w:rFonts w:asciiTheme="majorBidi" w:hAnsiTheme="majorBidi" w:cstheme="majorBidi"/>
          <w:sz w:val="24"/>
          <w:szCs w:val="24"/>
        </w:rPr>
        <w:t xml:space="preserve"> and found that their decriminalization decreased drug overdose deaths.</w:t>
      </w:r>
    </w:p>
    <w:p w14:paraId="050A0C0A" w14:textId="6A21BDE6" w:rsidR="00460465" w:rsidRPr="00715078" w:rsidRDefault="00460465" w:rsidP="00C333C6">
      <w:pPr>
        <w:spacing w:line="360" w:lineRule="auto"/>
        <w:ind w:firstLine="720"/>
        <w:rPr>
          <w:rFonts w:asciiTheme="majorBidi" w:hAnsiTheme="majorBidi" w:cstheme="majorBidi"/>
          <w:sz w:val="24"/>
          <w:szCs w:val="24"/>
        </w:rPr>
      </w:pPr>
      <w:r>
        <w:rPr>
          <w:rFonts w:asciiTheme="majorBidi" w:hAnsiTheme="majorBidi" w:cstheme="majorBidi"/>
          <w:sz w:val="24"/>
          <w:szCs w:val="24"/>
        </w:rPr>
        <w:t xml:space="preserve">Both Oregon and Portugal decriminalized drugs but did not </w:t>
      </w:r>
      <w:r w:rsidRPr="00460465">
        <w:rPr>
          <w:rFonts w:asciiTheme="majorBidi" w:hAnsiTheme="majorBidi" w:cstheme="majorBidi"/>
          <w:sz w:val="24"/>
          <w:szCs w:val="24"/>
        </w:rPr>
        <w:t xml:space="preserve">depenalize </w:t>
      </w:r>
      <w:r>
        <w:rPr>
          <w:rFonts w:asciiTheme="majorBidi" w:hAnsiTheme="majorBidi" w:cstheme="majorBidi"/>
          <w:sz w:val="24"/>
          <w:szCs w:val="24"/>
        </w:rPr>
        <w:t>drugs, with Portugal’s 2001 reform requiring people who use drugs to face “Commissions for Dissuasions of Drug Addiction” which dictate treatment requirements</w:t>
      </w:r>
      <w:r w:rsidR="006D0FC3">
        <w:rPr>
          <w:rFonts w:asciiTheme="majorBidi" w:hAnsiTheme="majorBidi" w:cstheme="majorBidi"/>
          <w:sz w:val="24"/>
          <w:szCs w:val="24"/>
        </w:rPr>
        <w:t>, warnings,</w:t>
      </w:r>
      <w:r>
        <w:rPr>
          <w:rFonts w:asciiTheme="majorBidi" w:hAnsiTheme="majorBidi" w:cstheme="majorBidi"/>
          <w:sz w:val="24"/>
          <w:szCs w:val="24"/>
        </w:rPr>
        <w:t xml:space="preserve"> </w:t>
      </w:r>
      <w:r w:rsidR="006D0FC3">
        <w:rPr>
          <w:rFonts w:asciiTheme="majorBidi" w:hAnsiTheme="majorBidi" w:cstheme="majorBidi"/>
          <w:sz w:val="24"/>
          <w:szCs w:val="24"/>
        </w:rPr>
        <w:t>and</w:t>
      </w:r>
      <w:r>
        <w:rPr>
          <w:rFonts w:asciiTheme="majorBidi" w:hAnsiTheme="majorBidi" w:cstheme="majorBidi"/>
          <w:sz w:val="24"/>
          <w:szCs w:val="24"/>
        </w:rPr>
        <w:t xml:space="preserve"> fines </w:t>
      </w:r>
      <w:r w:rsidRPr="00715078">
        <w:rPr>
          <w:rFonts w:asciiTheme="majorBidi" w:hAnsiTheme="majorBidi" w:cstheme="majorBidi"/>
          <w:sz w:val="24"/>
          <w:szCs w:val="24"/>
        </w:rPr>
        <w:t>(Greenwald, 2009).</w:t>
      </w:r>
      <w:r w:rsidR="006D0FC3">
        <w:rPr>
          <w:rFonts w:asciiTheme="majorBidi" w:hAnsiTheme="majorBidi" w:cstheme="majorBidi"/>
          <w:sz w:val="24"/>
          <w:szCs w:val="24"/>
        </w:rPr>
        <w:t xml:space="preserve"> In the case of Portugal, treatment is considered the primary responses with fines being seen as a last resort tool used only on those deemed addicts</w:t>
      </w:r>
      <w:r w:rsidR="00A84A10">
        <w:rPr>
          <w:rFonts w:asciiTheme="majorBidi" w:hAnsiTheme="majorBidi" w:cstheme="majorBidi"/>
          <w:sz w:val="24"/>
          <w:szCs w:val="24"/>
        </w:rPr>
        <w:t xml:space="preserve"> (Greenwald, 2009)</w:t>
      </w:r>
      <w:r w:rsidR="006D0FC3">
        <w:rPr>
          <w:rFonts w:asciiTheme="majorBidi" w:hAnsiTheme="majorBidi" w:cstheme="majorBidi"/>
          <w:sz w:val="24"/>
          <w:szCs w:val="24"/>
        </w:rPr>
        <w:t xml:space="preserve">. </w:t>
      </w:r>
      <w:r w:rsidR="009A0251">
        <w:rPr>
          <w:rFonts w:asciiTheme="majorBidi" w:hAnsiTheme="majorBidi" w:cstheme="majorBidi"/>
          <w:sz w:val="24"/>
          <w:szCs w:val="24"/>
        </w:rPr>
        <w:t>Since decriminalization, Portugal has seen crime and court costs decrease but treatment and other prevention costs increase (</w:t>
      </w:r>
      <w:r w:rsidR="009A0251" w:rsidRPr="00715078">
        <w:rPr>
          <w:rFonts w:asciiTheme="majorBidi" w:hAnsiTheme="majorBidi" w:cstheme="majorBidi"/>
          <w:sz w:val="24"/>
          <w:szCs w:val="24"/>
        </w:rPr>
        <w:t>Félix</w:t>
      </w:r>
      <w:r w:rsidR="005A033F">
        <w:rPr>
          <w:rFonts w:asciiTheme="majorBidi" w:hAnsiTheme="majorBidi" w:cstheme="majorBidi"/>
          <w:sz w:val="24"/>
          <w:szCs w:val="24"/>
        </w:rPr>
        <w:t>,</w:t>
      </w:r>
      <w:r w:rsidR="009A0251" w:rsidRPr="00715078">
        <w:rPr>
          <w:rFonts w:asciiTheme="majorBidi" w:hAnsiTheme="majorBidi" w:cstheme="majorBidi"/>
          <w:sz w:val="24"/>
          <w:szCs w:val="24"/>
        </w:rPr>
        <w:t xml:space="preserve"> et al.</w:t>
      </w:r>
      <w:r w:rsidR="009A0251">
        <w:rPr>
          <w:rFonts w:asciiTheme="majorBidi" w:hAnsiTheme="majorBidi" w:cstheme="majorBidi"/>
          <w:sz w:val="24"/>
          <w:szCs w:val="24"/>
        </w:rPr>
        <w:t xml:space="preserve">, </w:t>
      </w:r>
      <w:r w:rsidR="009A0251" w:rsidRPr="00715078">
        <w:rPr>
          <w:rFonts w:asciiTheme="majorBidi" w:hAnsiTheme="majorBidi" w:cstheme="majorBidi"/>
          <w:sz w:val="24"/>
          <w:szCs w:val="24"/>
        </w:rPr>
        <w:t>2017</w:t>
      </w:r>
      <w:r w:rsidR="009A0251">
        <w:rPr>
          <w:rFonts w:asciiTheme="majorBidi" w:hAnsiTheme="majorBidi" w:cstheme="majorBidi"/>
          <w:sz w:val="24"/>
          <w:szCs w:val="24"/>
        </w:rPr>
        <w:t>).</w:t>
      </w:r>
      <w:r w:rsidR="00602243">
        <w:rPr>
          <w:rFonts w:asciiTheme="majorBidi" w:hAnsiTheme="majorBidi" w:cstheme="majorBidi"/>
          <w:sz w:val="24"/>
          <w:szCs w:val="24"/>
        </w:rPr>
        <w:t xml:space="preserve"> Both Oregon’s and Portugal’s decriminalization make no </w:t>
      </w:r>
      <w:r w:rsidR="00602243">
        <w:rPr>
          <w:rFonts w:asciiTheme="majorBidi" w:hAnsiTheme="majorBidi" w:cstheme="majorBidi"/>
          <w:sz w:val="24"/>
          <w:szCs w:val="24"/>
        </w:rPr>
        <w:lastRenderedPageBreak/>
        <w:t>distinction for public or private consumption, or between different specific drugs (</w:t>
      </w:r>
      <w:r w:rsidR="00602243" w:rsidRPr="00715078">
        <w:rPr>
          <w:rFonts w:asciiTheme="majorBidi" w:hAnsiTheme="majorBidi" w:cstheme="majorBidi"/>
          <w:sz w:val="24"/>
          <w:szCs w:val="24"/>
        </w:rPr>
        <w:t>Greenwald, 2009</w:t>
      </w:r>
      <w:r w:rsidR="00602243">
        <w:rPr>
          <w:rFonts w:asciiTheme="majorBidi" w:hAnsiTheme="majorBidi" w:cstheme="majorBidi"/>
          <w:sz w:val="24"/>
          <w:szCs w:val="24"/>
        </w:rPr>
        <w:t xml:space="preserve">). </w:t>
      </w:r>
    </w:p>
    <w:p w14:paraId="10E8E5A7" w14:textId="2E656EEB" w:rsidR="00C623D1" w:rsidRPr="00715078" w:rsidRDefault="00C623D1" w:rsidP="00C333C6">
      <w:pPr>
        <w:spacing w:line="360" w:lineRule="auto"/>
        <w:ind w:firstLine="720"/>
        <w:rPr>
          <w:rFonts w:asciiTheme="majorBidi" w:hAnsiTheme="majorBidi" w:cstheme="majorBidi"/>
          <w:sz w:val="24"/>
          <w:szCs w:val="24"/>
        </w:rPr>
      </w:pPr>
      <w:r w:rsidRPr="00715078">
        <w:rPr>
          <w:rFonts w:asciiTheme="majorBidi" w:hAnsiTheme="majorBidi" w:cstheme="majorBidi"/>
          <w:sz w:val="24"/>
          <w:szCs w:val="24"/>
        </w:rPr>
        <w:t xml:space="preserve">A working paper by Spencer (2022) found that Measure 110 increased overdose deaths in Oregon, but his analysis is limited to the first 11 months of Measure 110’s </w:t>
      </w:r>
      <w:bookmarkStart w:id="2" w:name="_Hlk135570446"/>
      <w:r w:rsidR="00F2591A">
        <w:rPr>
          <w:rFonts w:asciiTheme="majorBidi" w:hAnsiTheme="majorBidi" w:cstheme="majorBidi"/>
          <w:sz w:val="24"/>
          <w:szCs w:val="24"/>
        </w:rPr>
        <w:t>implementation</w:t>
      </w:r>
      <w:bookmarkEnd w:id="2"/>
      <w:r w:rsidRPr="00715078">
        <w:rPr>
          <w:rFonts w:asciiTheme="majorBidi" w:hAnsiTheme="majorBidi" w:cstheme="majorBidi"/>
          <w:sz w:val="24"/>
          <w:szCs w:val="24"/>
        </w:rPr>
        <w:t xml:space="preserve">. Specifically, Spencer estimates that Measure 110 caused an increase in 206 overdose deaths which is a 27% increase over the synthetic control. I agree with his methodology choice of the </w:t>
      </w:r>
      <w:r w:rsidR="00181512">
        <w:rPr>
          <w:rFonts w:asciiTheme="majorBidi" w:hAnsiTheme="majorBidi" w:cstheme="majorBidi"/>
          <w:sz w:val="24"/>
          <w:szCs w:val="24"/>
        </w:rPr>
        <w:t>SCM</w:t>
      </w:r>
      <w:r w:rsidRPr="00715078">
        <w:rPr>
          <w:rFonts w:asciiTheme="majorBidi" w:hAnsiTheme="majorBidi" w:cstheme="majorBidi"/>
          <w:sz w:val="24"/>
          <w:szCs w:val="24"/>
        </w:rPr>
        <w:t xml:space="preserve"> to build a synthetic Oregon from data on the other 48 states, besides Washington since it temporarily decriminalized drugs in 2021, and DC. This method has some advantages over the difference in differences technique which falls victim to endogeneity of treatment as well as serial autocorrelation leading to underestimated standard errors (Bertrand, et al., 2004). My paper is different from Spencer’s working paper because I consider a longer time period of data.</w:t>
      </w:r>
    </w:p>
    <w:p w14:paraId="7D70FE0F" w14:textId="77777777" w:rsidR="00E1630C" w:rsidRPr="00E1630C" w:rsidRDefault="00E1630C" w:rsidP="00C333C6">
      <w:pPr>
        <w:spacing w:line="360" w:lineRule="auto"/>
        <w:rPr>
          <w:rFonts w:asciiTheme="majorBidi" w:hAnsiTheme="majorBidi" w:cstheme="majorBidi"/>
          <w:b/>
          <w:bCs/>
          <w:sz w:val="24"/>
          <w:szCs w:val="24"/>
        </w:rPr>
      </w:pPr>
    </w:p>
    <w:p w14:paraId="51BF02D2" w14:textId="66F91A40" w:rsidR="00C623D1" w:rsidRPr="00FE175E" w:rsidRDefault="00C623D1" w:rsidP="00C333C6">
      <w:pPr>
        <w:spacing w:line="360" w:lineRule="auto"/>
        <w:rPr>
          <w:rFonts w:asciiTheme="majorBidi" w:hAnsiTheme="majorBidi" w:cstheme="majorBidi"/>
          <w:b/>
          <w:bCs/>
          <w:sz w:val="28"/>
          <w:szCs w:val="28"/>
        </w:rPr>
      </w:pPr>
      <w:r w:rsidRPr="00FE175E">
        <w:rPr>
          <w:rFonts w:asciiTheme="majorBidi" w:hAnsiTheme="majorBidi" w:cstheme="majorBidi"/>
          <w:b/>
          <w:bCs/>
          <w:sz w:val="28"/>
          <w:szCs w:val="28"/>
        </w:rPr>
        <w:t>3. Empirical Methodology</w:t>
      </w:r>
    </w:p>
    <w:p w14:paraId="27DC1340" w14:textId="1CBDB9C2" w:rsidR="00C623D1" w:rsidRPr="00715078" w:rsidRDefault="00C623D1" w:rsidP="00C333C6">
      <w:pPr>
        <w:spacing w:line="360" w:lineRule="auto"/>
        <w:rPr>
          <w:rFonts w:asciiTheme="majorBidi" w:hAnsiTheme="majorBidi" w:cstheme="majorBidi"/>
          <w:sz w:val="24"/>
          <w:szCs w:val="24"/>
        </w:rPr>
      </w:pPr>
      <w:r w:rsidRPr="00715078">
        <w:rPr>
          <w:rFonts w:asciiTheme="majorBidi" w:hAnsiTheme="majorBidi" w:cstheme="majorBidi"/>
          <w:sz w:val="24"/>
          <w:szCs w:val="24"/>
        </w:rPr>
        <w:t xml:space="preserve">To determine the impact of Measure 110 on drug overdose deaths, this paper employs the </w:t>
      </w:r>
      <w:r w:rsidR="00181512">
        <w:rPr>
          <w:rFonts w:asciiTheme="majorBidi" w:hAnsiTheme="majorBidi" w:cstheme="majorBidi"/>
          <w:sz w:val="24"/>
          <w:szCs w:val="24"/>
        </w:rPr>
        <w:t>SCM</w:t>
      </w:r>
      <w:r w:rsidRPr="00715078">
        <w:rPr>
          <w:rFonts w:asciiTheme="majorBidi" w:hAnsiTheme="majorBidi" w:cstheme="majorBidi"/>
          <w:sz w:val="24"/>
          <w:szCs w:val="24"/>
        </w:rPr>
        <w:t xml:space="preserve">, as pioneered by Abadie and Gardeazabal (2003) and Abadie et al. (2010). A fundamental challenge in policy analysis is the inability to observe alternative outcomes under different policies. In the context of Measure 110, this implies that we cannot observe Oregon in a scenario where Measure 110 was not enacted. However, the </w:t>
      </w:r>
      <w:r w:rsidR="00181512">
        <w:rPr>
          <w:rFonts w:asciiTheme="majorBidi" w:hAnsiTheme="majorBidi" w:cstheme="majorBidi"/>
          <w:sz w:val="24"/>
          <w:szCs w:val="24"/>
        </w:rPr>
        <w:t>SCM</w:t>
      </w:r>
      <w:r w:rsidRPr="00715078">
        <w:rPr>
          <w:rFonts w:asciiTheme="majorBidi" w:hAnsiTheme="majorBidi" w:cstheme="majorBidi"/>
          <w:sz w:val="24"/>
          <w:szCs w:val="24"/>
        </w:rPr>
        <w:t xml:space="preserve"> allows us to construct a "synthetic Oregon" using data from other states, which can serve as a counterfactual to compare against the actual Oregon. The formal model in this paper closely aligns with those presented in Félix et al. (2017) and Spencer (2022).</w:t>
      </w:r>
    </w:p>
    <w:p w14:paraId="40DB3360" w14:textId="3A0C8CC6" w:rsidR="00C623D1" w:rsidRPr="00715078" w:rsidRDefault="00C623D1" w:rsidP="00C333C6">
      <w:pPr>
        <w:spacing w:line="360" w:lineRule="auto"/>
        <w:ind w:firstLine="720"/>
        <w:rPr>
          <w:rFonts w:asciiTheme="majorBidi" w:hAnsiTheme="majorBidi" w:cstheme="majorBidi"/>
          <w:sz w:val="24"/>
          <w:szCs w:val="24"/>
        </w:rPr>
      </w:pPr>
      <w:r w:rsidRPr="00715078">
        <w:rPr>
          <w:rFonts w:asciiTheme="majorBidi" w:hAnsiTheme="majorBidi" w:cstheme="majorBidi"/>
          <w:sz w:val="24"/>
          <w:szCs w:val="24"/>
        </w:rPr>
        <w:t xml:space="preserve">With </w:t>
      </w:r>
      <m:oMath>
        <m:sSubSup>
          <m:sSubSupPr>
            <m:ctrlPr>
              <w:rPr>
                <w:rFonts w:ascii="Cambria Math" w:hAnsi="Cambria Math" w:cstheme="majorBidi"/>
                <w:i/>
                <w:sz w:val="24"/>
                <w:szCs w:val="24"/>
              </w:rPr>
            </m:ctrlPr>
          </m:sSubSupPr>
          <m:e>
            <m:r>
              <w:rPr>
                <w:rFonts w:ascii="Cambria Math" w:hAnsi="Cambria Math" w:cstheme="majorBidi"/>
                <w:sz w:val="24"/>
                <w:szCs w:val="24"/>
              </w:rPr>
              <m:t>Y</m:t>
            </m:r>
          </m:e>
          <m:sub>
            <m:r>
              <w:rPr>
                <w:rFonts w:ascii="Cambria Math" w:hAnsi="Cambria Math" w:cstheme="majorBidi"/>
                <w:sz w:val="24"/>
                <w:szCs w:val="24"/>
              </w:rPr>
              <m:t>it</m:t>
            </m:r>
          </m:sub>
          <m:sup>
            <m:r>
              <w:rPr>
                <w:rFonts w:ascii="Cambria Math" w:hAnsi="Cambria Math" w:cstheme="majorBidi"/>
                <w:sz w:val="24"/>
                <w:szCs w:val="24"/>
              </w:rPr>
              <m:t>N</m:t>
            </m:r>
          </m:sup>
        </m:sSubSup>
      </m:oMath>
      <w:r w:rsidRPr="00715078">
        <w:rPr>
          <w:rFonts w:asciiTheme="majorBidi" w:hAnsiTheme="majorBidi" w:cstheme="majorBidi"/>
          <w:sz w:val="24"/>
          <w:szCs w:val="24"/>
        </w:rPr>
        <w:t xml:space="preserve"> as overdose deaths in state </w:t>
      </w:r>
      <m:oMath>
        <m:r>
          <w:rPr>
            <w:rFonts w:ascii="Cambria Math" w:hAnsi="Cambria Math" w:cstheme="majorBidi"/>
            <w:sz w:val="24"/>
            <w:szCs w:val="24"/>
          </w:rPr>
          <m:t>i</m:t>
        </m:r>
      </m:oMath>
      <w:r w:rsidRPr="00715078">
        <w:rPr>
          <w:rFonts w:asciiTheme="majorBidi" w:hAnsiTheme="majorBidi" w:cstheme="majorBidi"/>
          <w:sz w:val="24"/>
          <w:szCs w:val="24"/>
        </w:rPr>
        <w:t xml:space="preserve"> during month </w:t>
      </w:r>
      <m:oMath>
        <m:r>
          <w:rPr>
            <w:rFonts w:ascii="Cambria Math" w:hAnsi="Cambria Math" w:cstheme="majorBidi"/>
            <w:sz w:val="24"/>
            <w:szCs w:val="24"/>
          </w:rPr>
          <m:t>t</m:t>
        </m:r>
      </m:oMath>
      <w:r w:rsidRPr="00715078">
        <w:rPr>
          <w:rFonts w:asciiTheme="majorBidi" w:hAnsiTheme="majorBidi" w:cstheme="majorBidi"/>
          <w:sz w:val="24"/>
          <w:szCs w:val="24"/>
        </w:rPr>
        <w:t xml:space="preserve"> without decriminalization, and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0</m:t>
            </m:r>
          </m:sub>
        </m:sSub>
      </m:oMath>
      <w:r w:rsidRPr="00715078">
        <w:rPr>
          <w:rFonts w:asciiTheme="majorBidi" w:hAnsiTheme="majorBidi" w:cstheme="majorBidi"/>
          <w:sz w:val="24"/>
          <w:szCs w:val="24"/>
        </w:rPr>
        <w:t xml:space="preserve"> as pre-treatment months, I define decriminalization effect, </w:t>
      </w:r>
      <m:oMath>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it</m:t>
            </m:r>
          </m:sub>
        </m:sSub>
      </m:oMath>
      <w:r w:rsidRPr="00715078">
        <w:rPr>
          <w:rFonts w:asciiTheme="majorBidi" w:hAnsiTheme="majorBidi" w:cstheme="majorBidi"/>
          <w:sz w:val="24"/>
          <w:szCs w:val="24"/>
        </w:rPr>
        <w:t xml:space="preserve"> = </w:t>
      </w:r>
      <m:oMath>
        <m:sSubSup>
          <m:sSubSupPr>
            <m:ctrlPr>
              <w:rPr>
                <w:rFonts w:ascii="Cambria Math" w:hAnsi="Cambria Math" w:cstheme="majorBidi"/>
                <w:i/>
                <w:sz w:val="24"/>
                <w:szCs w:val="24"/>
              </w:rPr>
            </m:ctrlPr>
          </m:sSubSupPr>
          <m:e>
            <m:r>
              <w:rPr>
                <w:rFonts w:ascii="Cambria Math" w:hAnsi="Cambria Math" w:cstheme="majorBidi"/>
                <w:sz w:val="24"/>
                <w:szCs w:val="24"/>
              </w:rPr>
              <m:t>Y</m:t>
            </m:r>
          </m:e>
          <m:sub>
            <m:r>
              <w:rPr>
                <w:rFonts w:ascii="Cambria Math" w:hAnsi="Cambria Math" w:cstheme="majorBidi"/>
                <w:sz w:val="24"/>
                <w:szCs w:val="24"/>
              </w:rPr>
              <m:t>it</m:t>
            </m:r>
          </m:sub>
          <m:sup>
            <m:r>
              <w:rPr>
                <w:rFonts w:ascii="Cambria Math" w:hAnsi="Cambria Math" w:cstheme="majorBidi"/>
                <w:sz w:val="24"/>
                <w:szCs w:val="24"/>
              </w:rPr>
              <m:t>I</m:t>
            </m:r>
          </m:sup>
        </m:sSubSup>
      </m:oMath>
      <w:r w:rsidRPr="00715078">
        <w:rPr>
          <w:rFonts w:asciiTheme="majorBidi" w:hAnsiTheme="majorBidi" w:cstheme="majorBidi"/>
          <w:sz w:val="24"/>
          <w:szCs w:val="24"/>
        </w:rPr>
        <w:t xml:space="preserve"> - </w:t>
      </w:r>
      <m:oMath>
        <m:sSubSup>
          <m:sSubSupPr>
            <m:ctrlPr>
              <w:rPr>
                <w:rFonts w:ascii="Cambria Math" w:hAnsi="Cambria Math" w:cstheme="majorBidi"/>
                <w:i/>
                <w:sz w:val="24"/>
                <w:szCs w:val="24"/>
              </w:rPr>
            </m:ctrlPr>
          </m:sSubSupPr>
          <m:e>
            <m:r>
              <w:rPr>
                <w:rFonts w:ascii="Cambria Math" w:hAnsi="Cambria Math" w:cstheme="majorBidi"/>
                <w:sz w:val="24"/>
                <w:szCs w:val="24"/>
              </w:rPr>
              <m:t>Y</m:t>
            </m:r>
          </m:e>
          <m:sub>
            <m:r>
              <w:rPr>
                <w:rFonts w:ascii="Cambria Math" w:hAnsi="Cambria Math" w:cstheme="majorBidi"/>
                <w:sz w:val="24"/>
                <w:szCs w:val="24"/>
              </w:rPr>
              <m:t>it</m:t>
            </m:r>
          </m:sub>
          <m:sup>
            <m:r>
              <w:rPr>
                <w:rFonts w:ascii="Cambria Math" w:hAnsi="Cambria Math" w:cstheme="majorBidi"/>
                <w:sz w:val="24"/>
                <w:szCs w:val="24"/>
              </w:rPr>
              <m:t>N</m:t>
            </m:r>
          </m:sup>
        </m:sSubSup>
        <m:r>
          <m:rPr>
            <m:sty m:val="p"/>
          </m:rPr>
          <w:rPr>
            <w:rFonts w:ascii="Cambria Math" w:hAnsi="Cambria Math" w:cstheme="majorBidi"/>
            <w:sz w:val="24"/>
            <w:szCs w:val="24"/>
          </w:rPr>
          <m:t xml:space="preserve"> </m:t>
        </m:r>
        <m:r>
          <m:rPr>
            <m:sty m:val="p"/>
          </m:rPr>
          <w:rPr>
            <w:rFonts w:ascii="Cambria Math" w:hAnsi="Cambria Math" w:cstheme="majorBidi"/>
            <w:sz w:val="24"/>
            <w:szCs w:val="24"/>
          </w:rPr>
          <m:t>(1)</m:t>
        </m:r>
      </m:oMath>
      <w:r w:rsidRPr="00715078">
        <w:rPr>
          <w:rFonts w:asciiTheme="majorBidi" w:hAnsiTheme="majorBidi" w:cstheme="majorBidi"/>
          <w:sz w:val="24"/>
          <w:szCs w:val="24"/>
        </w:rPr>
        <w:t>,</w:t>
      </w:r>
      <w:r w:rsidR="00BD0344">
        <w:rPr>
          <w:rFonts w:asciiTheme="majorBidi" w:hAnsiTheme="majorBidi" w:cstheme="majorBidi"/>
          <w:sz w:val="24"/>
          <w:szCs w:val="24"/>
        </w:rPr>
        <w:t xml:space="preserve"> </w:t>
      </w:r>
      <w:r w:rsidRPr="00715078">
        <w:rPr>
          <w:rFonts w:asciiTheme="majorBidi" w:hAnsiTheme="majorBidi" w:cstheme="majorBidi"/>
          <w:sz w:val="24"/>
          <w:szCs w:val="24"/>
        </w:rPr>
        <w:t xml:space="preserve">where </w:t>
      </w:r>
      <m:oMath>
        <m:sSubSup>
          <m:sSubSupPr>
            <m:ctrlPr>
              <w:rPr>
                <w:rFonts w:ascii="Cambria Math" w:hAnsi="Cambria Math" w:cstheme="majorBidi"/>
                <w:i/>
                <w:sz w:val="24"/>
                <w:szCs w:val="24"/>
              </w:rPr>
            </m:ctrlPr>
          </m:sSubSupPr>
          <m:e>
            <m:r>
              <w:rPr>
                <w:rFonts w:ascii="Cambria Math" w:hAnsi="Cambria Math" w:cstheme="majorBidi"/>
                <w:sz w:val="24"/>
                <w:szCs w:val="24"/>
              </w:rPr>
              <m:t>Y</m:t>
            </m:r>
          </m:e>
          <m:sub>
            <m:r>
              <w:rPr>
                <w:rFonts w:ascii="Cambria Math" w:hAnsi="Cambria Math" w:cstheme="majorBidi"/>
                <w:sz w:val="24"/>
                <w:szCs w:val="24"/>
              </w:rPr>
              <m:t>it</m:t>
            </m:r>
          </m:sub>
          <m:sup>
            <m:r>
              <w:rPr>
                <w:rFonts w:ascii="Cambria Math" w:hAnsi="Cambria Math" w:cstheme="majorBidi"/>
                <w:sz w:val="24"/>
                <w:szCs w:val="24"/>
              </w:rPr>
              <m:t>I</m:t>
            </m:r>
          </m:sup>
        </m:sSubSup>
      </m:oMath>
      <w:r w:rsidRPr="00715078">
        <w:rPr>
          <w:rFonts w:asciiTheme="majorBidi" w:hAnsiTheme="majorBidi" w:cstheme="majorBidi"/>
          <w:sz w:val="24"/>
          <w:szCs w:val="24"/>
        </w:rPr>
        <w:t xml:space="preserve"> represents deaths with decriminalization from the first treatment period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0</m:t>
            </m:r>
          </m:sub>
        </m:sSub>
        <m:r>
          <w:rPr>
            <w:rFonts w:ascii="Cambria Math" w:hAnsi="Cambria Math" w:cstheme="majorBidi"/>
            <w:sz w:val="24"/>
            <w:szCs w:val="24"/>
          </w:rPr>
          <m:t>+1</m:t>
        </m:r>
      </m:oMath>
      <w:r w:rsidRPr="00715078">
        <w:rPr>
          <w:rFonts w:asciiTheme="majorBidi" w:hAnsiTheme="majorBidi" w:cstheme="majorBidi"/>
          <w:sz w:val="24"/>
          <w:szCs w:val="24"/>
        </w:rPr>
        <w:t xml:space="preserve"> to </w:t>
      </w:r>
      <m:oMath>
        <m:r>
          <w:rPr>
            <w:rFonts w:ascii="Cambria Math" w:hAnsi="Cambria Math" w:cstheme="majorBidi"/>
            <w:sz w:val="24"/>
            <w:szCs w:val="24"/>
          </w:rPr>
          <m:t>T</m:t>
        </m:r>
      </m:oMath>
      <w:r w:rsidRPr="00715078">
        <w:rPr>
          <w:rFonts w:asciiTheme="majorBidi" w:hAnsiTheme="majorBidi" w:cstheme="majorBidi"/>
          <w:sz w:val="24"/>
          <w:szCs w:val="24"/>
        </w:rPr>
        <w:t xml:space="preserve">, for states </w:t>
      </w:r>
      <m:oMath>
        <m:r>
          <w:rPr>
            <w:rFonts w:ascii="Cambria Math" w:hAnsi="Cambria Math" w:cstheme="majorBidi"/>
            <w:sz w:val="24"/>
            <w:szCs w:val="24"/>
          </w:rPr>
          <m:t>i=1,…, J+1</m:t>
        </m:r>
      </m:oMath>
      <w:r w:rsidRPr="00715078">
        <w:rPr>
          <w:rFonts w:asciiTheme="majorBidi" w:hAnsiTheme="majorBidi" w:cstheme="majorBidi"/>
          <w:sz w:val="24"/>
          <w:szCs w:val="24"/>
        </w:rPr>
        <w:t xml:space="preserve"> and months</w:t>
      </w:r>
      <w:r w:rsidRPr="00715078">
        <w:rPr>
          <w:rFonts w:asciiTheme="majorBidi" w:hAnsiTheme="majorBidi" w:cstheme="majorBidi"/>
          <w:i/>
          <w:sz w:val="24"/>
          <w:szCs w:val="24"/>
        </w:rPr>
        <w:t xml:space="preserve"> </w:t>
      </w:r>
      <m:oMath>
        <m:r>
          <w:rPr>
            <w:rFonts w:ascii="Cambria Math" w:hAnsi="Cambria Math" w:cstheme="majorBidi"/>
            <w:sz w:val="24"/>
            <w:szCs w:val="24"/>
          </w:rPr>
          <m:t>t=1,…,T</m:t>
        </m:r>
      </m:oMath>
      <w:r w:rsidRPr="00715078">
        <w:rPr>
          <w:rFonts w:asciiTheme="majorBidi" w:hAnsiTheme="majorBidi" w:cstheme="majorBidi"/>
          <w:sz w:val="24"/>
          <w:szCs w:val="24"/>
        </w:rPr>
        <w:t xml:space="preserve">. Using </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it</m:t>
            </m:r>
          </m:sub>
        </m:sSub>
      </m:oMath>
      <w:r w:rsidRPr="00715078">
        <w:rPr>
          <w:rFonts w:asciiTheme="majorBidi" w:hAnsiTheme="majorBidi" w:cstheme="majorBidi"/>
          <w:sz w:val="24"/>
          <w:szCs w:val="24"/>
        </w:rPr>
        <w:t xml:space="preserve"> as an indicator for state </w:t>
      </w:r>
      <m:oMath>
        <m:r>
          <w:rPr>
            <w:rFonts w:ascii="Cambria Math" w:hAnsi="Cambria Math" w:cstheme="majorBidi"/>
            <w:sz w:val="24"/>
            <w:szCs w:val="24"/>
          </w:rPr>
          <m:t>i</m:t>
        </m:r>
      </m:oMath>
      <w:r w:rsidRPr="00715078">
        <w:rPr>
          <w:rFonts w:asciiTheme="majorBidi" w:hAnsiTheme="majorBidi" w:cstheme="majorBidi"/>
          <w:sz w:val="24"/>
          <w:szCs w:val="24"/>
        </w:rPr>
        <w:t xml:space="preserve">'s treatment during month </w:t>
      </w:r>
      <m:oMath>
        <m:r>
          <w:rPr>
            <w:rFonts w:ascii="Cambria Math" w:hAnsi="Cambria Math" w:cstheme="majorBidi"/>
            <w:sz w:val="24"/>
            <w:szCs w:val="24"/>
          </w:rPr>
          <m:t>t</m:t>
        </m:r>
      </m:oMath>
      <w:r w:rsidRPr="00715078">
        <w:rPr>
          <w:rFonts w:asciiTheme="majorBidi" w:hAnsiTheme="majorBidi" w:cstheme="majorBidi"/>
          <w:sz w:val="24"/>
          <w:szCs w:val="24"/>
        </w:rPr>
        <w:t xml:space="preserve">, the observed outcome is </w:t>
      </w:r>
      <m:oMath>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it</m:t>
            </m:r>
          </m:sub>
        </m:sSub>
        <m:r>
          <w:rPr>
            <w:rFonts w:ascii="Cambria Math" w:hAnsi="Cambria Math" w:cstheme="majorBidi"/>
            <w:sz w:val="24"/>
            <w:szCs w:val="24"/>
          </w:rPr>
          <m:t>=</m:t>
        </m:r>
        <m:sSubSup>
          <m:sSubSupPr>
            <m:ctrlPr>
              <w:rPr>
                <w:rFonts w:ascii="Cambria Math" w:hAnsi="Cambria Math" w:cstheme="majorBidi"/>
                <w:i/>
                <w:sz w:val="24"/>
                <w:szCs w:val="24"/>
              </w:rPr>
            </m:ctrlPr>
          </m:sSubSupPr>
          <m:e>
            <m:r>
              <w:rPr>
                <w:rFonts w:ascii="Cambria Math" w:hAnsi="Cambria Math" w:cstheme="majorBidi"/>
                <w:sz w:val="24"/>
                <w:szCs w:val="24"/>
              </w:rPr>
              <m:t>Y</m:t>
            </m:r>
          </m:e>
          <m:sub>
            <m:r>
              <w:rPr>
                <w:rFonts w:ascii="Cambria Math" w:hAnsi="Cambria Math" w:cstheme="majorBidi"/>
                <w:sz w:val="24"/>
                <w:szCs w:val="24"/>
              </w:rPr>
              <m:t>it</m:t>
            </m:r>
          </m:sub>
          <m:sup>
            <m:r>
              <w:rPr>
                <w:rFonts w:ascii="Cambria Math" w:hAnsi="Cambria Math" w:cstheme="majorBidi"/>
                <w:sz w:val="24"/>
                <w:szCs w:val="24"/>
              </w:rPr>
              <m:t>N</m:t>
            </m:r>
          </m:sup>
        </m:sSubSup>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it</m:t>
            </m:r>
          </m:sub>
        </m:sSub>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it</m:t>
            </m:r>
          </m:sub>
        </m:sSub>
      </m:oMath>
      <w:r w:rsidR="00BD0344">
        <w:rPr>
          <w:rFonts w:asciiTheme="majorBidi" w:hAnsiTheme="majorBidi" w:cstheme="majorBidi"/>
          <w:sz w:val="24"/>
          <w:szCs w:val="24"/>
        </w:rPr>
        <w:t xml:space="preserve"> (2)</w:t>
      </w:r>
      <w:r w:rsidRPr="00715078">
        <w:rPr>
          <w:rFonts w:asciiTheme="majorBidi" w:hAnsiTheme="majorBidi" w:cstheme="majorBidi"/>
          <w:sz w:val="24"/>
          <w:szCs w:val="24"/>
        </w:rPr>
        <w:t xml:space="preserve">. Identifying Oregon as state </w:t>
      </w:r>
      <m:oMath>
        <m:r>
          <w:rPr>
            <w:rFonts w:ascii="Cambria Math" w:hAnsi="Cambria Math" w:cstheme="majorBidi"/>
            <w:sz w:val="24"/>
            <w:szCs w:val="24"/>
          </w:rPr>
          <m:t>i=1</m:t>
        </m:r>
      </m:oMath>
      <w:r w:rsidRPr="00715078">
        <w:rPr>
          <w:rFonts w:asciiTheme="majorBidi" w:hAnsiTheme="majorBidi" w:cstheme="majorBidi"/>
          <w:sz w:val="24"/>
          <w:szCs w:val="24"/>
        </w:rPr>
        <w:t xml:space="preserve">, I aim to estimate the sequence </w:t>
      </w:r>
      <m:oMath>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1</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0</m:t>
                    </m:r>
                  </m:sub>
                </m:s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1</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0</m:t>
                    </m:r>
                  </m:sub>
                </m:s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1T</m:t>
                </m:r>
              </m:sub>
            </m:sSub>
          </m:e>
        </m:d>
      </m:oMath>
      <w:r w:rsidRPr="00715078">
        <w:rPr>
          <w:rFonts w:asciiTheme="majorBidi" w:hAnsiTheme="majorBidi" w:cstheme="majorBidi"/>
          <w:sz w:val="24"/>
          <w:szCs w:val="24"/>
        </w:rPr>
        <w:t>, representing the treatment effect for each post-intervention month.</w:t>
      </w:r>
    </w:p>
    <w:p w14:paraId="032DBAE1" w14:textId="7F243CB3" w:rsidR="00144AE3" w:rsidRPr="00144AE3" w:rsidRDefault="00C623D1" w:rsidP="00BD0344">
      <w:pPr>
        <w:spacing w:line="360" w:lineRule="auto"/>
        <w:ind w:firstLine="720"/>
        <w:rPr>
          <w:rFonts w:asciiTheme="majorBidi" w:hAnsiTheme="majorBidi" w:cstheme="majorBidi"/>
          <w:sz w:val="24"/>
          <w:szCs w:val="24"/>
        </w:rPr>
      </w:pPr>
      <w:r w:rsidRPr="00715078">
        <w:rPr>
          <w:rFonts w:asciiTheme="majorBidi" w:hAnsiTheme="majorBidi" w:cstheme="majorBidi"/>
          <w:sz w:val="24"/>
          <w:szCs w:val="24"/>
        </w:rPr>
        <w:lastRenderedPageBreak/>
        <w:t xml:space="preserve">To estimate these effects, we observe </w:t>
      </w:r>
      <m:oMath>
        <m:sSubSup>
          <m:sSubSupPr>
            <m:ctrlPr>
              <w:rPr>
                <w:rFonts w:ascii="Cambria Math" w:hAnsi="Cambria Math" w:cstheme="majorBidi"/>
                <w:i/>
                <w:sz w:val="24"/>
                <w:szCs w:val="24"/>
              </w:rPr>
            </m:ctrlPr>
          </m:sSubSupPr>
          <m:e>
            <m:r>
              <w:rPr>
                <w:rFonts w:ascii="Cambria Math" w:hAnsi="Cambria Math" w:cstheme="majorBidi"/>
                <w:sz w:val="24"/>
                <w:szCs w:val="24"/>
              </w:rPr>
              <m:t>Y</m:t>
            </m:r>
          </m:e>
          <m:sub>
            <m:r>
              <w:rPr>
                <w:rFonts w:ascii="Cambria Math" w:hAnsi="Cambria Math" w:cstheme="majorBidi"/>
                <w:sz w:val="24"/>
                <w:szCs w:val="24"/>
              </w:rPr>
              <m:t>it</m:t>
            </m:r>
          </m:sub>
          <m:sup>
            <m:r>
              <w:rPr>
                <w:rFonts w:ascii="Cambria Math" w:hAnsi="Cambria Math" w:cstheme="majorBidi"/>
                <w:sz w:val="24"/>
                <w:szCs w:val="24"/>
              </w:rPr>
              <m:t>I</m:t>
            </m:r>
          </m:sup>
        </m:sSubSup>
      </m:oMath>
      <w:r w:rsidRPr="00715078">
        <w:rPr>
          <w:rFonts w:asciiTheme="majorBidi" w:hAnsiTheme="majorBidi" w:cstheme="majorBidi"/>
          <w:sz w:val="24"/>
          <w:szCs w:val="24"/>
        </w:rPr>
        <w:t xml:space="preserve"> and estimate the counterfactual </w:t>
      </w:r>
      <m:oMath>
        <m:sSubSup>
          <m:sSubSupPr>
            <m:ctrlPr>
              <w:rPr>
                <w:rFonts w:ascii="Cambria Math" w:hAnsi="Cambria Math" w:cstheme="majorBidi"/>
                <w:i/>
                <w:sz w:val="24"/>
                <w:szCs w:val="24"/>
              </w:rPr>
            </m:ctrlPr>
          </m:sSubSupPr>
          <m:e>
            <m:r>
              <w:rPr>
                <w:rFonts w:ascii="Cambria Math" w:hAnsi="Cambria Math" w:cstheme="majorBidi"/>
                <w:sz w:val="24"/>
                <w:szCs w:val="24"/>
              </w:rPr>
              <m:t>Y</m:t>
            </m:r>
          </m:e>
          <m:sub>
            <m:r>
              <w:rPr>
                <w:rFonts w:ascii="Cambria Math" w:hAnsi="Cambria Math" w:cstheme="majorBidi"/>
                <w:sz w:val="24"/>
                <w:szCs w:val="24"/>
              </w:rPr>
              <m:t>it</m:t>
            </m:r>
          </m:sub>
          <m:sup>
            <m:r>
              <w:rPr>
                <w:rFonts w:ascii="Cambria Math" w:hAnsi="Cambria Math" w:cstheme="majorBidi"/>
                <w:sz w:val="24"/>
                <w:szCs w:val="24"/>
              </w:rPr>
              <m:t>N</m:t>
            </m:r>
          </m:sup>
        </m:sSubSup>
      </m:oMath>
      <w:r w:rsidRPr="00715078">
        <w:rPr>
          <w:rFonts w:asciiTheme="majorBidi" w:hAnsiTheme="majorBidi" w:cstheme="majorBidi"/>
          <w:sz w:val="24"/>
          <w:szCs w:val="24"/>
        </w:rPr>
        <w:t xml:space="preserve"> for Oregon in </w:t>
      </w:r>
      <m:oMath>
        <m:r>
          <w:rPr>
            <w:rFonts w:ascii="Cambria Math" w:hAnsi="Cambria Math" w:cstheme="majorBidi"/>
            <w:sz w:val="24"/>
            <w:szCs w:val="24"/>
          </w:rPr>
          <m:t>t&gt;</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0</m:t>
            </m:r>
          </m:sub>
        </m:sSub>
      </m:oMath>
      <w:r w:rsidRPr="00715078">
        <w:rPr>
          <w:rFonts w:asciiTheme="majorBidi" w:hAnsiTheme="majorBidi" w:cstheme="majorBidi"/>
          <w:sz w:val="24"/>
          <w:szCs w:val="24"/>
        </w:rPr>
        <w:t xml:space="preserve">. </w:t>
      </w:r>
      <m:oMath>
        <m:sSubSup>
          <m:sSubSupPr>
            <m:ctrlPr>
              <w:rPr>
                <w:rFonts w:ascii="Cambria Math" w:hAnsi="Cambria Math" w:cstheme="majorBidi"/>
                <w:i/>
                <w:sz w:val="24"/>
                <w:szCs w:val="24"/>
              </w:rPr>
            </m:ctrlPr>
          </m:sSubSupPr>
          <m:e>
            <m:r>
              <w:rPr>
                <w:rFonts w:ascii="Cambria Math" w:hAnsi="Cambria Math" w:cstheme="majorBidi"/>
                <w:sz w:val="24"/>
                <w:szCs w:val="24"/>
              </w:rPr>
              <m:t>Y</m:t>
            </m:r>
          </m:e>
          <m:sub>
            <m:r>
              <w:rPr>
                <w:rFonts w:ascii="Cambria Math" w:hAnsi="Cambria Math" w:cstheme="majorBidi"/>
                <w:sz w:val="24"/>
                <w:szCs w:val="24"/>
              </w:rPr>
              <m:t>it</m:t>
            </m:r>
          </m:sub>
          <m:sup>
            <m:r>
              <w:rPr>
                <w:rFonts w:ascii="Cambria Math" w:hAnsi="Cambria Math" w:cstheme="majorBidi"/>
                <w:sz w:val="24"/>
                <w:szCs w:val="24"/>
              </w:rPr>
              <m:t>N</m:t>
            </m:r>
          </m:sup>
        </m:sSubSup>
      </m:oMath>
      <w:r w:rsidRPr="00715078">
        <w:rPr>
          <w:rFonts w:asciiTheme="majorBidi" w:hAnsiTheme="majorBidi" w:cstheme="majorBidi"/>
          <w:sz w:val="24"/>
          <w:szCs w:val="24"/>
        </w:rPr>
        <w:t xml:space="preserve"> is estimated using a weighted average of monthly overdose deaths in all other US States and DC, excluding Washington: </w:t>
      </w:r>
      <m:oMath>
        <m:sSubSup>
          <m:sSubSupPr>
            <m:ctrlPr>
              <w:rPr>
                <w:rFonts w:ascii="Cambria Math" w:hAnsi="Cambria Math" w:cstheme="majorBidi"/>
                <w:i/>
                <w:sz w:val="24"/>
                <w:szCs w:val="24"/>
              </w:rPr>
            </m:ctrlPr>
          </m:sSubSupPr>
          <m:e>
            <m:acc>
              <m:accPr>
                <m:ctrlPr>
                  <w:rPr>
                    <w:rFonts w:ascii="Cambria Math" w:hAnsi="Cambria Math" w:cstheme="majorBidi"/>
                    <w:i/>
                    <w:sz w:val="24"/>
                    <w:szCs w:val="24"/>
                  </w:rPr>
                </m:ctrlPr>
              </m:accPr>
              <m:e>
                <m:r>
                  <w:rPr>
                    <w:rFonts w:ascii="Cambria Math" w:hAnsi="Cambria Math" w:cstheme="majorBidi"/>
                    <w:sz w:val="24"/>
                    <w:szCs w:val="24"/>
                  </w:rPr>
                  <m:t>Y</m:t>
                </m:r>
              </m:e>
            </m:acc>
          </m:e>
          <m:sub>
            <m:r>
              <w:rPr>
                <w:rFonts w:ascii="Cambria Math" w:hAnsi="Cambria Math" w:cstheme="majorBidi"/>
                <w:sz w:val="24"/>
                <w:szCs w:val="24"/>
              </w:rPr>
              <m:t>1t</m:t>
            </m:r>
          </m:sub>
          <m:sup>
            <m:r>
              <w:rPr>
                <w:rFonts w:ascii="Cambria Math" w:hAnsi="Cambria Math" w:cstheme="majorBidi"/>
                <w:sz w:val="24"/>
                <w:szCs w:val="24"/>
              </w:rPr>
              <m:t>N</m:t>
            </m:r>
          </m:sup>
        </m:sSubSup>
        <m:r>
          <w:rPr>
            <w:rFonts w:ascii="Cambria Math" w:hAnsi="Cambria Math" w:cstheme="majorBidi"/>
            <w:sz w:val="24"/>
            <w:szCs w:val="24"/>
          </w:rPr>
          <m:t>=</m:t>
        </m:r>
        <m:nary>
          <m:naryPr>
            <m:chr m:val="∑"/>
            <m:limLoc m:val="undOvr"/>
            <m:ctrlPr>
              <w:rPr>
                <w:rFonts w:ascii="Cambria Math" w:hAnsi="Cambria Math" w:cstheme="majorBidi"/>
                <w:i/>
                <w:sz w:val="24"/>
                <w:szCs w:val="24"/>
              </w:rPr>
            </m:ctrlPr>
          </m:naryPr>
          <m:sub>
            <m:r>
              <w:rPr>
                <w:rFonts w:ascii="Cambria Math" w:hAnsi="Cambria Math" w:cstheme="majorBidi"/>
                <w:sz w:val="24"/>
                <w:szCs w:val="24"/>
              </w:rPr>
              <m:t>j=2</m:t>
            </m:r>
          </m:sub>
          <m:sup>
            <m:r>
              <w:rPr>
                <w:rFonts w:ascii="Cambria Math" w:hAnsi="Cambria Math" w:cstheme="majorBidi"/>
                <w:sz w:val="24"/>
                <w:szCs w:val="24"/>
              </w:rPr>
              <m:t>J+1</m:t>
            </m:r>
          </m:sup>
          <m:e>
            <m:sSubSup>
              <m:sSubSupPr>
                <m:ctrlPr>
                  <w:rPr>
                    <w:rFonts w:ascii="Cambria Math" w:hAnsi="Cambria Math" w:cstheme="majorBidi"/>
                    <w:i/>
                    <w:sz w:val="24"/>
                    <w:szCs w:val="24"/>
                  </w:rPr>
                </m:ctrlPr>
              </m:sSubSupPr>
              <m:e>
                <m:r>
                  <w:rPr>
                    <w:rFonts w:ascii="Cambria Math" w:hAnsi="Cambria Math" w:cstheme="majorBidi"/>
                    <w:sz w:val="24"/>
                    <w:szCs w:val="24"/>
                  </w:rPr>
                  <m:t>w</m:t>
                </m:r>
              </m:e>
              <m:sub>
                <m:r>
                  <w:rPr>
                    <w:rFonts w:ascii="Cambria Math" w:hAnsi="Cambria Math" w:cstheme="majorBidi"/>
                    <w:sz w:val="24"/>
                    <w:szCs w:val="24"/>
                  </w:rPr>
                  <m:t>j</m:t>
                </m:r>
              </m:sub>
              <m:sup>
                <m:r>
                  <w:rPr>
                    <w:rFonts w:ascii="Cambria Math" w:hAnsi="Cambria Math" w:cstheme="majorBidi"/>
                    <w:sz w:val="24"/>
                    <w:szCs w:val="24"/>
                  </w:rPr>
                  <m:t>*</m:t>
                </m:r>
              </m:sup>
            </m:sSubSup>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jt</m:t>
                </m:r>
              </m:sub>
            </m:sSub>
          </m:e>
        </m:nary>
        <m:r>
          <w:rPr>
            <w:rFonts w:ascii="Cambria Math" w:hAnsi="Cambria Math" w:cstheme="majorBidi"/>
            <w:sz w:val="24"/>
            <w:szCs w:val="24"/>
          </w:rPr>
          <m:t xml:space="preserve"> (</m:t>
        </m:r>
        <m:r>
          <w:rPr>
            <w:rFonts w:ascii="Cambria Math" w:hAnsi="Cambria Math" w:cstheme="majorBidi"/>
            <w:sz w:val="24"/>
            <w:szCs w:val="24"/>
          </w:rPr>
          <m:t>3</m:t>
        </m:r>
        <m:r>
          <w:rPr>
            <w:rFonts w:ascii="Cambria Math" w:hAnsi="Cambria Math" w:cstheme="majorBidi"/>
            <w:sz w:val="24"/>
            <w:szCs w:val="24"/>
          </w:rPr>
          <m:t>)</m:t>
        </m:r>
      </m:oMath>
      <w:r w:rsidRPr="00715078">
        <w:rPr>
          <w:rFonts w:asciiTheme="majorBidi" w:hAnsiTheme="majorBidi" w:cstheme="majorBidi"/>
          <w:sz w:val="24"/>
          <w:szCs w:val="24"/>
        </w:rPr>
        <w:t xml:space="preserve">, where </w:t>
      </w:r>
      <m:oMath>
        <m:sSubSup>
          <m:sSubSupPr>
            <m:ctrlPr>
              <w:rPr>
                <w:rFonts w:ascii="Cambria Math" w:hAnsi="Cambria Math" w:cstheme="majorBidi"/>
                <w:i/>
                <w:sz w:val="24"/>
                <w:szCs w:val="24"/>
              </w:rPr>
            </m:ctrlPr>
          </m:sSubSupPr>
          <m:e>
            <m:r>
              <w:rPr>
                <w:rFonts w:ascii="Cambria Math" w:hAnsi="Cambria Math" w:cstheme="majorBidi"/>
                <w:sz w:val="24"/>
                <w:szCs w:val="24"/>
              </w:rPr>
              <m:t>w</m:t>
            </m:r>
          </m:e>
          <m:sub>
            <m:r>
              <w:rPr>
                <w:rFonts w:ascii="Cambria Math" w:hAnsi="Cambria Math" w:cstheme="majorBidi"/>
                <w:sz w:val="24"/>
                <w:szCs w:val="24"/>
              </w:rPr>
              <m:t>j</m:t>
            </m:r>
          </m:sub>
          <m:sup>
            <m:r>
              <w:rPr>
                <w:rFonts w:ascii="Cambria Math" w:hAnsi="Cambria Math" w:cstheme="majorBidi"/>
                <w:sz w:val="24"/>
                <w:szCs w:val="24"/>
              </w:rPr>
              <m:t>*</m:t>
            </m:r>
          </m:sup>
        </m:sSubSup>
      </m:oMath>
      <w:r w:rsidRPr="00715078">
        <w:rPr>
          <w:rFonts w:asciiTheme="majorBidi" w:hAnsiTheme="majorBidi" w:cstheme="majorBidi"/>
          <w:sz w:val="24"/>
          <w:szCs w:val="24"/>
        </w:rPr>
        <w:t xml:space="preserve"> is the optimal weight of state j for synthetic Oregon. Non-negative weights that sum to one are chosen to optimize the</w:t>
      </w:r>
      <w:r w:rsidR="00BD0344">
        <w:rPr>
          <w:rFonts w:asciiTheme="majorBidi" w:hAnsiTheme="majorBidi" w:cstheme="majorBidi"/>
          <w:sz w:val="24"/>
          <w:szCs w:val="24"/>
        </w:rPr>
        <w:t xml:space="preserve"> </w:t>
      </w:r>
      <w:r w:rsidRPr="00715078">
        <w:rPr>
          <w:rFonts w:asciiTheme="majorBidi" w:hAnsiTheme="majorBidi" w:cstheme="majorBidi"/>
          <w:sz w:val="24"/>
          <w:szCs w:val="24"/>
        </w:rPr>
        <w:t>pre-intervention mean square prediction error (MSPE)</w:t>
      </w:r>
      <w:r w:rsidR="00144AE3">
        <w:rPr>
          <w:rFonts w:asciiTheme="majorBidi" w:hAnsiTheme="majorBidi" w:cstheme="majorBidi"/>
          <w:sz w:val="24"/>
          <w:szCs w:val="24"/>
        </w:rPr>
        <w:t>:</w:t>
      </w:r>
      <m:oMath>
        <m:r>
          <m:rPr>
            <m:sty m:val="p"/>
          </m:rPr>
          <w:rPr>
            <w:rFonts w:ascii="Cambria Math" w:eastAsia="Yu Gothic" w:hAnsi="Cambria Math" w:cs="Times New Roman"/>
            <w:sz w:val="24"/>
            <w:szCs w:val="24"/>
          </w:rPr>
          <w:br/>
        </m:r>
      </m:oMath>
      <w:r w:rsidR="00BD0344">
        <w:rPr>
          <w:rFonts w:asciiTheme="majorBidi" w:hAnsiTheme="majorBidi" w:cstheme="majorBidi"/>
          <w:sz w:val="24"/>
          <w:szCs w:val="24"/>
        </w:rPr>
        <w:t xml:space="preserve">               </w:t>
      </w:r>
      <w:r w:rsidR="00BD0344">
        <w:rPr>
          <w:rFonts w:asciiTheme="majorBidi" w:hAnsiTheme="majorBidi" w:cstheme="majorBidi"/>
          <w:sz w:val="24"/>
          <w:szCs w:val="24"/>
        </w:rPr>
        <w:t xml:space="preserve">     </w:t>
      </w:r>
      <w:r w:rsidR="00BD0344">
        <w:rPr>
          <w:rFonts w:asciiTheme="majorBidi" w:hAnsiTheme="majorBidi" w:cstheme="majorBidi"/>
          <w:sz w:val="24"/>
          <w:szCs w:val="24"/>
        </w:rPr>
        <w:t xml:space="preserve">                  </w:t>
      </w:r>
      <m:oMath>
        <m:r>
          <w:rPr>
            <w:rFonts w:ascii="Cambria Math" w:hAnsi="Cambria Math" w:cstheme="majorBidi"/>
            <w:sz w:val="24"/>
            <w:szCs w:val="24"/>
          </w:rPr>
          <m:t xml:space="preserve">  </m:t>
        </m:r>
        <m:nary>
          <m:naryPr>
            <m:chr m:val="∑"/>
            <m:supHide m:val="1"/>
            <m:ctrlPr>
              <w:rPr>
                <w:rFonts w:ascii="Cambria Math" w:hAnsi="Cambria Math" w:cstheme="majorBidi"/>
                <w:i/>
                <w:sz w:val="24"/>
                <w:szCs w:val="24"/>
              </w:rPr>
            </m:ctrlPr>
          </m:naryPr>
          <m:sub>
            <m:r>
              <w:rPr>
                <w:rFonts w:ascii="Cambria Math" w:hAnsi="Cambria Math" w:cstheme="majorBidi"/>
                <w:sz w:val="24"/>
                <w:szCs w:val="24"/>
              </w:rPr>
              <m:t>t∈</m:t>
            </m:r>
            <m:sSub>
              <m:sSubPr>
                <m:ctrlPr>
                  <w:rPr>
                    <w:rFonts w:ascii="Cambria Math" w:hAnsi="Cambria Math" w:cstheme="majorBidi"/>
                    <w:i/>
                    <w:sz w:val="24"/>
                    <w:szCs w:val="24"/>
                  </w:rPr>
                </m:ctrlPr>
              </m:sSubPr>
              <m:e>
                <m:r>
                  <w:rPr>
                    <w:rFonts w:ascii="Cambria Math" w:hAnsi="Cambria Math" w:cstheme="majorBidi"/>
                    <w:sz w:val="24"/>
                    <w:szCs w:val="24"/>
                  </w:rPr>
                  <m:t>τ</m:t>
                </m:r>
              </m:e>
              <m:sub>
                <m:r>
                  <w:rPr>
                    <w:rFonts w:ascii="Cambria Math" w:hAnsi="Cambria Math" w:cstheme="majorBidi"/>
                    <w:sz w:val="24"/>
                    <w:szCs w:val="24"/>
                  </w:rPr>
                  <m:t>0</m:t>
                </m:r>
              </m:sub>
            </m:sSub>
          </m:sub>
          <m:sup/>
          <m:e>
            <m:sSup>
              <m:sSupPr>
                <m:ctrlPr>
                  <w:rPr>
                    <w:rFonts w:ascii="Cambria Math" w:hAnsi="Cambria Math" w:cstheme="majorBidi"/>
                    <w:i/>
                    <w:sz w:val="24"/>
                    <w:szCs w:val="24"/>
                  </w:rPr>
                </m:ctrlPr>
              </m:sSupPr>
              <m:e>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1t</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2</m:t>
                        </m:r>
                      </m:sub>
                    </m:sSub>
                    <m:d>
                      <m:dPr>
                        <m:ctrlPr>
                          <w:rPr>
                            <w:rFonts w:ascii="Cambria Math" w:hAnsi="Cambria Math" w:cstheme="majorBidi"/>
                            <w:i/>
                            <w:sz w:val="24"/>
                            <w:szCs w:val="24"/>
                          </w:rPr>
                        </m:ctrlPr>
                      </m:dPr>
                      <m:e>
                        <m:r>
                          <w:rPr>
                            <w:rFonts w:ascii="Cambria Math" w:hAnsi="Cambria Math" w:cstheme="majorBidi"/>
                            <w:sz w:val="24"/>
                            <w:szCs w:val="24"/>
                          </w:rPr>
                          <m:t>V</m:t>
                        </m:r>
                      </m:e>
                    </m:d>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2t</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J+1</m:t>
                        </m:r>
                      </m:sub>
                    </m:sSub>
                    <m:r>
                      <w:rPr>
                        <w:rFonts w:ascii="Cambria Math" w:hAnsi="Cambria Math" w:cstheme="majorBidi"/>
                        <w:sz w:val="24"/>
                        <w:szCs w:val="24"/>
                      </w:rPr>
                      <m:t xml:space="preserve"> </m:t>
                    </m:r>
                    <m:d>
                      <m:dPr>
                        <m:ctrlPr>
                          <w:rPr>
                            <w:rFonts w:ascii="Cambria Math" w:hAnsi="Cambria Math" w:cstheme="majorBidi"/>
                            <w:i/>
                            <w:sz w:val="24"/>
                            <w:szCs w:val="24"/>
                          </w:rPr>
                        </m:ctrlPr>
                      </m:dPr>
                      <m:e>
                        <m:r>
                          <w:rPr>
                            <w:rFonts w:ascii="Cambria Math" w:hAnsi="Cambria Math" w:cstheme="majorBidi"/>
                            <w:sz w:val="24"/>
                            <w:szCs w:val="24"/>
                          </w:rPr>
                          <m:t>V</m:t>
                        </m:r>
                      </m:e>
                    </m:d>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J+1t</m:t>
                        </m:r>
                      </m:sub>
                    </m:sSub>
                  </m:e>
                </m:d>
              </m:e>
              <m:sup>
                <m:r>
                  <w:rPr>
                    <w:rFonts w:ascii="Cambria Math" w:hAnsi="Cambria Math" w:cstheme="majorBidi"/>
                    <w:sz w:val="24"/>
                    <w:szCs w:val="24"/>
                  </w:rPr>
                  <m:t>2</m:t>
                </m:r>
              </m:sup>
            </m:sSup>
          </m:e>
        </m:nary>
      </m:oMath>
      <w:r w:rsidR="00BD0344">
        <w:rPr>
          <w:rFonts w:asciiTheme="majorBidi" w:hAnsiTheme="majorBidi" w:cstheme="majorBidi"/>
          <w:sz w:val="24"/>
          <w:szCs w:val="24"/>
        </w:rPr>
        <w:t xml:space="preserve"> </w:t>
      </w:r>
      <w:r w:rsidR="00BD0344">
        <w:rPr>
          <w:rFonts w:asciiTheme="majorBidi" w:hAnsiTheme="majorBidi" w:cstheme="majorBidi"/>
          <w:sz w:val="24"/>
          <w:szCs w:val="24"/>
        </w:rPr>
        <w:t xml:space="preserve">              </w:t>
      </w:r>
      <w:r w:rsidR="00BD0344">
        <w:rPr>
          <w:rFonts w:asciiTheme="majorBidi" w:hAnsiTheme="majorBidi" w:cstheme="majorBidi"/>
          <w:sz w:val="24"/>
          <w:szCs w:val="24"/>
        </w:rPr>
        <w:t xml:space="preserve"> </w:t>
      </w:r>
      <w:r w:rsidR="00BD0344">
        <w:rPr>
          <w:rFonts w:asciiTheme="majorBidi" w:hAnsiTheme="majorBidi" w:cstheme="majorBidi"/>
          <w:sz w:val="24"/>
          <w:szCs w:val="24"/>
        </w:rPr>
        <w:t xml:space="preserve">   </w:t>
      </w:r>
      <w:r w:rsidR="00BD0344">
        <w:rPr>
          <w:rFonts w:asciiTheme="majorBidi" w:hAnsiTheme="majorBidi" w:cstheme="majorBidi"/>
          <w:sz w:val="24"/>
          <w:szCs w:val="24"/>
        </w:rPr>
        <w:t xml:space="preserve"> </w:t>
      </w:r>
      <w:r w:rsidR="00BD0344">
        <w:rPr>
          <w:rFonts w:asciiTheme="majorBidi" w:hAnsiTheme="majorBidi" w:cstheme="majorBidi"/>
          <w:sz w:val="24"/>
          <w:szCs w:val="24"/>
        </w:rPr>
        <w:t xml:space="preserve">                </w:t>
      </w:r>
      <w:r w:rsidR="00BD0344">
        <w:rPr>
          <w:rFonts w:asciiTheme="majorBidi" w:hAnsiTheme="majorBidi" w:cstheme="majorBidi"/>
          <w:sz w:val="24"/>
          <w:szCs w:val="24"/>
        </w:rPr>
        <w:t>(4)</w:t>
      </w:r>
    </w:p>
    <w:p w14:paraId="24E65B9C" w14:textId="41267CA7" w:rsidR="00F05C8D" w:rsidRPr="00715078" w:rsidRDefault="00C623D1" w:rsidP="00C333C6">
      <w:pPr>
        <w:spacing w:line="360" w:lineRule="auto"/>
        <w:ind w:firstLine="720"/>
        <w:rPr>
          <w:rFonts w:asciiTheme="majorBidi" w:hAnsiTheme="majorBidi" w:cstheme="majorBidi"/>
          <w:sz w:val="24"/>
          <w:szCs w:val="24"/>
        </w:rPr>
      </w:pPr>
      <w:r w:rsidRPr="00715078">
        <w:rPr>
          <w:rFonts w:asciiTheme="majorBidi" w:hAnsiTheme="majorBidi" w:cstheme="majorBidi"/>
          <w:sz w:val="24"/>
          <w:szCs w:val="24"/>
        </w:rPr>
        <w:t>for Oregon</w:t>
      </w:r>
      <w:r w:rsidR="00144AE3">
        <w:rPr>
          <w:rFonts w:asciiTheme="majorBidi" w:hAnsiTheme="majorBidi" w:cstheme="majorBidi"/>
          <w:sz w:val="24"/>
          <w:szCs w:val="24"/>
        </w:rPr>
        <w:t xml:space="preserve">, where </w:t>
      </w:r>
      <m:oMath>
        <m:r>
          <w:rPr>
            <w:rFonts w:ascii="Cambria Math" w:hAnsi="Cambria Math" w:cstheme="majorBidi"/>
            <w:sz w:val="24"/>
            <w:szCs w:val="24"/>
          </w:rPr>
          <m:t>V</m:t>
        </m:r>
      </m:oMath>
      <w:r w:rsidR="00144AE3">
        <w:rPr>
          <w:rFonts w:asciiTheme="majorBidi" w:hAnsiTheme="majorBidi" w:cstheme="majorBidi"/>
          <w:sz w:val="24"/>
          <w:szCs w:val="24"/>
        </w:rPr>
        <w:t xml:space="preserve"> </w:t>
      </w:r>
      <w:r w:rsidR="00DD2E54">
        <w:rPr>
          <w:rFonts w:asciiTheme="majorBidi" w:hAnsiTheme="majorBidi" w:cstheme="majorBidi"/>
          <w:sz w:val="24"/>
          <w:szCs w:val="24"/>
        </w:rPr>
        <w:t>optimally weights the importance of matching the predictor variables</w:t>
      </w:r>
      <w:r w:rsidR="004C57FF">
        <w:rPr>
          <w:rFonts w:asciiTheme="majorBidi" w:hAnsiTheme="majorBidi" w:cstheme="majorBidi"/>
          <w:sz w:val="24"/>
          <w:szCs w:val="24"/>
        </w:rPr>
        <w:t xml:space="preserve"> in </w:t>
      </w:r>
      <m:oMath>
        <m:r>
          <w:rPr>
            <w:rFonts w:ascii="Cambria Math" w:hAnsi="Cambria Math" w:cstheme="majorBidi"/>
            <w:sz w:val="24"/>
            <w:szCs w:val="24"/>
          </w:rPr>
          <m:t>X</m:t>
        </m:r>
      </m:oMath>
      <w:r w:rsidR="00F360CC">
        <w:rPr>
          <w:rFonts w:asciiTheme="majorBidi" w:hAnsiTheme="majorBidi"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τ</m:t>
            </m:r>
          </m:e>
          <m:sub>
            <m:r>
              <w:rPr>
                <w:rFonts w:ascii="Cambria Math" w:hAnsi="Cambria Math" w:cstheme="majorBidi"/>
                <w:sz w:val="24"/>
                <w:szCs w:val="24"/>
              </w:rPr>
              <m:t>0</m:t>
            </m:r>
          </m:sub>
        </m:sSub>
        <m:r>
          <w:rPr>
            <w:rFonts w:ascii="Cambria Math" w:hAnsi="Cambria Math" w:cstheme="majorBidi"/>
            <w:sz w:val="24"/>
            <w:szCs w:val="24"/>
          </w:rPr>
          <m:t xml:space="preserve"> </m:t>
        </m:r>
      </m:oMath>
      <w:r w:rsidRPr="00715078">
        <w:rPr>
          <w:rFonts w:asciiTheme="majorBidi" w:hAnsiTheme="majorBidi" w:cstheme="majorBidi"/>
          <w:sz w:val="24"/>
          <w:szCs w:val="24"/>
        </w:rPr>
        <w:t>.</w:t>
      </w:r>
      <w:r w:rsidR="009B2DC8">
        <w:rPr>
          <w:rFonts w:asciiTheme="majorBidi" w:hAnsiTheme="majorBidi" w:cstheme="majorBidi"/>
          <w:sz w:val="24"/>
          <w:szCs w:val="24"/>
        </w:rPr>
        <w:t xml:space="preserve"> Various </w:t>
      </w:r>
      <w:r w:rsidR="00334FF3">
        <w:rPr>
          <w:rFonts w:asciiTheme="majorBidi" w:hAnsiTheme="majorBidi" w:cstheme="majorBidi"/>
          <w:sz w:val="24"/>
          <w:szCs w:val="24"/>
        </w:rPr>
        <w:t>predictor variables will be used to match the donor states to Oregon, the</w:t>
      </w:r>
      <w:r w:rsidR="00E146BD">
        <w:rPr>
          <w:rFonts w:asciiTheme="majorBidi" w:hAnsiTheme="majorBidi" w:cstheme="majorBidi"/>
          <w:sz w:val="24"/>
          <w:szCs w:val="24"/>
        </w:rPr>
        <w:t xml:space="preserve">se </w:t>
      </w:r>
      <w:r w:rsidR="00334FF3">
        <w:rPr>
          <w:rFonts w:asciiTheme="majorBidi" w:hAnsiTheme="majorBidi" w:cstheme="majorBidi"/>
          <w:sz w:val="24"/>
          <w:szCs w:val="24"/>
        </w:rPr>
        <w:t xml:space="preserve">specific variables </w:t>
      </w:r>
      <w:r w:rsidR="008F3159">
        <w:rPr>
          <w:rFonts w:asciiTheme="majorBidi" w:hAnsiTheme="majorBidi" w:cstheme="majorBidi"/>
          <w:sz w:val="24"/>
          <w:szCs w:val="24"/>
        </w:rPr>
        <w:t>will be noted in the next section</w:t>
      </w:r>
      <w:r w:rsidR="00334FF3">
        <w:rPr>
          <w:rFonts w:asciiTheme="majorBidi" w:hAnsiTheme="majorBidi" w:cstheme="majorBidi"/>
          <w:sz w:val="24"/>
          <w:szCs w:val="24"/>
        </w:rPr>
        <w:t>.</w:t>
      </w:r>
      <w:r w:rsidRPr="00715078">
        <w:rPr>
          <w:rFonts w:asciiTheme="majorBidi" w:hAnsiTheme="majorBidi" w:cstheme="majorBidi"/>
          <w:sz w:val="24"/>
          <w:szCs w:val="24"/>
        </w:rPr>
        <w:t xml:space="preserve"> </w:t>
      </w:r>
      <w:r w:rsidR="00083320">
        <w:rPr>
          <w:rFonts w:asciiTheme="majorBidi" w:hAnsiTheme="majorBidi" w:cstheme="majorBidi"/>
          <w:sz w:val="24"/>
          <w:szCs w:val="24"/>
        </w:rPr>
        <w:t>Pre-treatment MSPE is used to measure the fit of the synthetic, and post-treatment MSPE is used to measure the difference between the real unit and the estimated synthetic counterpart. This paper will follow a common approach in the SCM literature for estimating p-values using placebo tests a</w:t>
      </w:r>
      <w:r w:rsidR="00EA5086">
        <w:rPr>
          <w:rFonts w:asciiTheme="majorBidi" w:hAnsiTheme="majorBidi" w:cstheme="majorBidi"/>
          <w:sz w:val="24"/>
          <w:szCs w:val="24"/>
        </w:rPr>
        <w:t>nd the ratio of post/pre-MSPE, with a larger than one suggesting a significant impact</w:t>
      </w:r>
      <w:r w:rsidR="00083320">
        <w:rPr>
          <w:rFonts w:asciiTheme="majorBidi" w:hAnsiTheme="majorBidi" w:cstheme="majorBidi"/>
          <w:sz w:val="24"/>
          <w:szCs w:val="24"/>
        </w:rPr>
        <w:t xml:space="preserve">. </w:t>
      </w:r>
      <w:r w:rsidRPr="00715078">
        <w:rPr>
          <w:rFonts w:asciiTheme="majorBidi" w:hAnsiTheme="majorBidi" w:cstheme="majorBidi"/>
          <w:sz w:val="24"/>
          <w:szCs w:val="24"/>
        </w:rPr>
        <w:t>The full equation of interest</w:t>
      </w:r>
      <w:r w:rsidR="00E524F1">
        <w:rPr>
          <w:rFonts w:asciiTheme="majorBidi" w:hAnsiTheme="majorBidi" w:cstheme="majorBidi"/>
          <w:sz w:val="24"/>
          <w:szCs w:val="24"/>
        </w:rPr>
        <w:t>,</w:t>
      </w:r>
    </w:p>
    <w:p w14:paraId="06D2E42E" w14:textId="7602C114" w:rsidR="00E524F1" w:rsidRDefault="00F05C8D" w:rsidP="00C333C6">
      <w:pPr>
        <w:spacing w:line="360" w:lineRule="auto"/>
        <w:ind w:firstLine="720"/>
        <w:rPr>
          <w:rFonts w:asciiTheme="majorBidi" w:hAnsiTheme="majorBidi" w:cstheme="majorBidi"/>
          <w:sz w:val="24"/>
          <w:szCs w:val="24"/>
        </w:rPr>
      </w:pPr>
      <m:oMath>
        <m:r>
          <w:rPr>
            <w:rFonts w:ascii="Cambria Math" w:hAnsi="Cambria Math" w:cstheme="majorBidi"/>
            <w:sz w:val="24"/>
            <w:szCs w:val="24"/>
          </w:rPr>
          <m:t xml:space="preserve">                                         </m:t>
        </m:r>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α</m:t>
                </m:r>
              </m:e>
            </m:acc>
          </m:e>
          <m:sub>
            <m:r>
              <w:rPr>
                <w:rFonts w:ascii="Cambria Math" w:hAnsi="Cambria Math" w:cstheme="majorBidi"/>
                <w:sz w:val="24"/>
                <w:szCs w:val="24"/>
              </w:rPr>
              <m:t>1T</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1T</m:t>
            </m:r>
          </m:sub>
        </m:sSub>
        <m:r>
          <w:rPr>
            <w:rFonts w:ascii="Cambria Math" w:hAnsi="Cambria Math" w:cstheme="majorBidi"/>
            <w:sz w:val="24"/>
            <w:szCs w:val="24"/>
          </w:rPr>
          <m:t>-</m:t>
        </m:r>
        <m:sSubSup>
          <m:sSubSupPr>
            <m:ctrlPr>
              <w:rPr>
                <w:rFonts w:ascii="Cambria Math" w:hAnsi="Cambria Math" w:cstheme="majorBidi"/>
                <w:i/>
                <w:sz w:val="24"/>
                <w:szCs w:val="24"/>
              </w:rPr>
            </m:ctrlPr>
          </m:sSubSupPr>
          <m:e>
            <m:acc>
              <m:accPr>
                <m:ctrlPr>
                  <w:rPr>
                    <w:rFonts w:ascii="Cambria Math" w:hAnsi="Cambria Math" w:cstheme="majorBidi"/>
                    <w:i/>
                    <w:sz w:val="24"/>
                    <w:szCs w:val="24"/>
                  </w:rPr>
                </m:ctrlPr>
              </m:accPr>
              <m:e>
                <m:r>
                  <w:rPr>
                    <w:rFonts w:ascii="Cambria Math" w:hAnsi="Cambria Math" w:cstheme="majorBidi"/>
                    <w:sz w:val="24"/>
                    <w:szCs w:val="24"/>
                  </w:rPr>
                  <m:t>Y</m:t>
                </m:r>
              </m:e>
            </m:acc>
          </m:e>
          <m:sub>
            <m:r>
              <w:rPr>
                <w:rFonts w:ascii="Cambria Math" w:hAnsi="Cambria Math" w:cstheme="majorBidi"/>
                <w:sz w:val="24"/>
                <w:szCs w:val="24"/>
              </w:rPr>
              <m:t>1t</m:t>
            </m:r>
          </m:sub>
          <m:sup>
            <m:r>
              <w:rPr>
                <w:rFonts w:ascii="Cambria Math" w:hAnsi="Cambria Math" w:cstheme="majorBidi"/>
                <w:sz w:val="24"/>
                <w:szCs w:val="24"/>
              </w:rPr>
              <m:t>N</m:t>
            </m:r>
          </m:sup>
        </m:sSubSup>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1t</m:t>
            </m:r>
          </m:sub>
        </m:sSub>
        <m:r>
          <w:rPr>
            <w:rFonts w:ascii="Cambria Math" w:hAnsi="Cambria Math" w:cstheme="majorBidi"/>
            <w:sz w:val="24"/>
            <w:szCs w:val="24"/>
          </w:rPr>
          <m:t>-</m:t>
        </m:r>
        <m:nary>
          <m:naryPr>
            <m:chr m:val="∑"/>
            <m:limLoc m:val="undOvr"/>
            <m:ctrlPr>
              <w:rPr>
                <w:rFonts w:ascii="Cambria Math" w:hAnsi="Cambria Math" w:cstheme="majorBidi"/>
                <w:i/>
                <w:sz w:val="24"/>
                <w:szCs w:val="24"/>
              </w:rPr>
            </m:ctrlPr>
          </m:naryPr>
          <m:sub>
            <m:r>
              <w:rPr>
                <w:rFonts w:ascii="Cambria Math" w:hAnsi="Cambria Math" w:cstheme="majorBidi"/>
                <w:sz w:val="24"/>
                <w:szCs w:val="24"/>
              </w:rPr>
              <m:t>j=2</m:t>
            </m:r>
          </m:sub>
          <m:sup>
            <m:r>
              <w:rPr>
                <w:rFonts w:ascii="Cambria Math" w:hAnsi="Cambria Math" w:cstheme="majorBidi"/>
                <w:sz w:val="24"/>
                <w:szCs w:val="24"/>
              </w:rPr>
              <m:t>J+1</m:t>
            </m:r>
          </m:sup>
          <m:e>
            <m:sSubSup>
              <m:sSubSupPr>
                <m:ctrlPr>
                  <w:rPr>
                    <w:rFonts w:ascii="Cambria Math" w:hAnsi="Cambria Math" w:cstheme="majorBidi"/>
                    <w:i/>
                    <w:sz w:val="24"/>
                    <w:szCs w:val="24"/>
                  </w:rPr>
                </m:ctrlPr>
              </m:sSubSupPr>
              <m:e>
                <m:r>
                  <w:rPr>
                    <w:rFonts w:ascii="Cambria Math" w:hAnsi="Cambria Math" w:cstheme="majorBidi"/>
                    <w:sz w:val="24"/>
                    <w:szCs w:val="24"/>
                  </w:rPr>
                  <m:t>w</m:t>
                </m:r>
              </m:e>
              <m:sub>
                <m:r>
                  <w:rPr>
                    <w:rFonts w:ascii="Cambria Math" w:hAnsi="Cambria Math" w:cstheme="majorBidi"/>
                    <w:sz w:val="24"/>
                    <w:szCs w:val="24"/>
                  </w:rPr>
                  <m:t>j</m:t>
                </m:r>
              </m:sub>
              <m:sup>
                <m:r>
                  <w:rPr>
                    <w:rFonts w:ascii="Cambria Math" w:hAnsi="Cambria Math" w:cstheme="majorBidi"/>
                    <w:sz w:val="24"/>
                    <w:szCs w:val="24"/>
                  </w:rPr>
                  <m:t>*</m:t>
                </m:r>
              </m:sup>
            </m:sSubSup>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jt</m:t>
                </m:r>
              </m:sub>
            </m:sSub>
          </m:e>
        </m:nary>
        <m:r>
          <w:rPr>
            <w:rFonts w:ascii="Cambria Math" w:hAnsi="Cambria Math" w:cstheme="majorBidi"/>
            <w:sz w:val="24"/>
            <w:szCs w:val="24"/>
          </w:rPr>
          <m:t xml:space="preserve">                                     </m:t>
        </m:r>
        <m:r>
          <w:rPr>
            <w:rFonts w:ascii="Cambria Math" w:hAnsi="Cambria Math" w:cstheme="majorBidi"/>
            <w:sz w:val="24"/>
            <w:szCs w:val="24"/>
          </w:rPr>
          <m:t xml:space="preserve">   </m:t>
        </m:r>
        <m:r>
          <w:rPr>
            <w:rFonts w:ascii="Cambria Math" w:hAnsi="Cambria Math" w:cstheme="majorBidi"/>
            <w:sz w:val="24"/>
            <w:szCs w:val="24"/>
          </w:rPr>
          <m:t xml:space="preserve">       (</m:t>
        </m:r>
        <m:r>
          <w:rPr>
            <w:rFonts w:ascii="Cambria Math" w:hAnsi="Cambria Math" w:cstheme="majorBidi"/>
            <w:sz w:val="24"/>
            <w:szCs w:val="24"/>
          </w:rPr>
          <m:t>5</m:t>
        </m:r>
        <m:r>
          <w:rPr>
            <w:rFonts w:ascii="Cambria Math" w:hAnsi="Cambria Math" w:cstheme="majorBidi"/>
            <w:sz w:val="24"/>
            <w:szCs w:val="24"/>
          </w:rPr>
          <m:t>)</m:t>
        </m:r>
      </m:oMath>
      <w:r w:rsidR="00E524F1">
        <w:rPr>
          <w:rFonts w:asciiTheme="majorBidi" w:hAnsiTheme="majorBidi" w:cstheme="majorBidi"/>
          <w:sz w:val="24"/>
          <w:szCs w:val="24"/>
        </w:rPr>
        <w:t>,</w:t>
      </w:r>
    </w:p>
    <w:p w14:paraId="344EBB66" w14:textId="23DA3FEB" w:rsidR="00C623D1" w:rsidRPr="00715078" w:rsidRDefault="00C623D1" w:rsidP="00C333C6">
      <w:pPr>
        <w:spacing w:line="360" w:lineRule="auto"/>
        <w:ind w:firstLine="720"/>
        <w:rPr>
          <w:rFonts w:asciiTheme="majorBidi" w:hAnsiTheme="majorBidi" w:cstheme="majorBidi"/>
          <w:sz w:val="24"/>
          <w:szCs w:val="24"/>
        </w:rPr>
      </w:pPr>
      <w:r w:rsidRPr="00715078">
        <w:rPr>
          <w:rFonts w:asciiTheme="majorBidi" w:hAnsiTheme="majorBidi" w:cstheme="majorBidi"/>
          <w:sz w:val="24"/>
          <w:szCs w:val="24"/>
        </w:rPr>
        <w:t>is estimated for each post-intervention period. This estimated treatment effect reveals the difference in overdose deaths in Oregon after Measure 110 compared to synthetic Oregon, offering empirical evidence of Measure 110's impact on drug deaths.</w:t>
      </w:r>
    </w:p>
    <w:p w14:paraId="394E746D" w14:textId="03F35F9B" w:rsidR="00181512" w:rsidRPr="00181512" w:rsidRDefault="00181512" w:rsidP="00181512">
      <w:pPr>
        <w:spacing w:line="360" w:lineRule="auto"/>
        <w:ind w:firstLine="720"/>
        <w:rPr>
          <w:rFonts w:asciiTheme="majorBidi" w:hAnsiTheme="majorBidi" w:cstheme="majorBidi"/>
          <w:sz w:val="24"/>
          <w:szCs w:val="24"/>
        </w:rPr>
      </w:pPr>
      <w:r w:rsidRPr="00181512">
        <w:rPr>
          <w:rFonts w:asciiTheme="majorBidi" w:hAnsiTheme="majorBidi" w:cstheme="majorBidi"/>
          <w:sz w:val="24"/>
          <w:szCs w:val="24"/>
        </w:rPr>
        <w:t xml:space="preserve">The SCM comes with several underlying assumptions and potential issues, which may affect the validity of the results. The first critical assumption of this model is that Measure 110 has no effect prior to its implementation. This assumption, known as the </w:t>
      </w:r>
      <w:r w:rsidRPr="00181512">
        <w:rPr>
          <w:rFonts w:asciiTheme="majorBidi" w:hAnsiTheme="majorBidi" w:cstheme="majorBidi"/>
          <w:i/>
          <w:iCs/>
          <w:sz w:val="24"/>
          <w:szCs w:val="24"/>
        </w:rPr>
        <w:t>no anticipation effect</w:t>
      </w:r>
      <w:r w:rsidRPr="00181512">
        <w:rPr>
          <w:rFonts w:asciiTheme="majorBidi" w:hAnsiTheme="majorBidi" w:cstheme="majorBidi"/>
          <w:sz w:val="24"/>
          <w:szCs w:val="24"/>
        </w:rPr>
        <w:t>,</w:t>
      </w:r>
      <w:r>
        <w:rPr>
          <w:rFonts w:asciiTheme="majorBidi" w:hAnsiTheme="majorBidi" w:cstheme="majorBidi"/>
          <w:sz w:val="24"/>
          <w:szCs w:val="24"/>
        </w:rPr>
        <w:t xml:space="preserve"> </w:t>
      </w:r>
      <w:r w:rsidRPr="00181512">
        <w:rPr>
          <w:rFonts w:asciiTheme="majorBidi" w:hAnsiTheme="majorBidi" w:cstheme="majorBidi"/>
          <w:sz w:val="24"/>
          <w:szCs w:val="24"/>
        </w:rPr>
        <w:t>posits that potential changes in behavior anticipating the implementation of the measure would not influence overdose death rates. If, however, individuals or institutions altered their behavior in anticipation of the law, this could bias the results. For example, individuals might change their drug use patterns or healthcare providers might alter their prescribing habits in anticipation of the policy change, and this could introduce an anticipation effect bias.</w:t>
      </w:r>
      <w:r>
        <w:rPr>
          <w:rFonts w:asciiTheme="majorBidi" w:hAnsiTheme="majorBidi" w:cstheme="majorBidi"/>
          <w:sz w:val="24"/>
          <w:szCs w:val="24"/>
        </w:rPr>
        <w:t xml:space="preserve"> </w:t>
      </w:r>
      <w:r w:rsidRPr="00181512">
        <w:rPr>
          <w:rFonts w:asciiTheme="majorBidi" w:hAnsiTheme="majorBidi" w:cstheme="majorBidi"/>
          <w:sz w:val="24"/>
          <w:szCs w:val="24"/>
        </w:rPr>
        <w:t xml:space="preserve">A second important assumption of this model is that Measure 110 does not impact overdose deaths in other states used as controls. This assumption, often referred to as the </w:t>
      </w:r>
      <w:r w:rsidRPr="00181512">
        <w:rPr>
          <w:rFonts w:asciiTheme="majorBidi" w:hAnsiTheme="majorBidi" w:cstheme="majorBidi"/>
          <w:i/>
          <w:iCs/>
          <w:sz w:val="24"/>
          <w:szCs w:val="24"/>
        </w:rPr>
        <w:t>no spillover effect</w:t>
      </w:r>
      <w:r w:rsidRPr="00181512">
        <w:rPr>
          <w:rFonts w:asciiTheme="majorBidi" w:hAnsiTheme="majorBidi" w:cstheme="majorBidi"/>
          <w:sz w:val="24"/>
          <w:szCs w:val="24"/>
        </w:rPr>
        <w:t xml:space="preserve"> assumption, suggests that the policy change in Oregon would not affect drug overdose rates in other states. </w:t>
      </w:r>
      <w:r w:rsidRPr="00181512">
        <w:rPr>
          <w:rFonts w:asciiTheme="majorBidi" w:hAnsiTheme="majorBidi" w:cstheme="majorBidi"/>
          <w:sz w:val="24"/>
          <w:szCs w:val="24"/>
        </w:rPr>
        <w:lastRenderedPageBreak/>
        <w:t>Yet, the potential for policy diffusion or the influence of policy changes in one state on the behaviors of individuals in neighboring states could challenge the validity of this assumption. For instance, if residents of neighboring states travel to Oregon to take advantage of the policy change, it may indirectly affect overdose rates in those neighboring states, violating this assumption and potentially leading to biased results.</w:t>
      </w:r>
      <w:r w:rsidR="008E2D58">
        <w:rPr>
          <w:rFonts w:asciiTheme="majorBidi" w:hAnsiTheme="majorBidi" w:cstheme="majorBidi"/>
          <w:sz w:val="24"/>
          <w:szCs w:val="24"/>
        </w:rPr>
        <w:t xml:space="preserve"> However, considering the outcome under study is unintentional drug overdose deaths, I would not anticipate this assumption to be violated.</w:t>
      </w:r>
    </w:p>
    <w:p w14:paraId="4E887FB0" w14:textId="795C40A5" w:rsidR="00181512" w:rsidRDefault="00181512" w:rsidP="00181512">
      <w:pPr>
        <w:spacing w:line="360" w:lineRule="auto"/>
        <w:ind w:firstLine="720"/>
        <w:rPr>
          <w:rFonts w:asciiTheme="majorBidi" w:hAnsiTheme="majorBidi" w:cstheme="majorBidi"/>
          <w:sz w:val="24"/>
          <w:szCs w:val="24"/>
        </w:rPr>
      </w:pPr>
      <w:r w:rsidRPr="00181512">
        <w:rPr>
          <w:rFonts w:asciiTheme="majorBidi" w:hAnsiTheme="majorBidi" w:cstheme="majorBidi"/>
          <w:sz w:val="24"/>
          <w:szCs w:val="24"/>
        </w:rPr>
        <w:t>A third potential issue with the SCM relates to the number of pre-treatment periods. The accuracy of the synthetic control in predicting what would have happened in the absence of the treatment heavily relies on the number of pre-treatment periods available. If the pre-treatment periods are insufficient, it may limit the synthetic control's ability to accurately track the trajectory of the real Oregon, hence compromising the reliability of the counterfactual.</w:t>
      </w:r>
      <w:r>
        <w:rPr>
          <w:rFonts w:asciiTheme="majorBidi" w:hAnsiTheme="majorBidi" w:cstheme="majorBidi"/>
          <w:sz w:val="24"/>
          <w:szCs w:val="24"/>
        </w:rPr>
        <w:t xml:space="preserve"> </w:t>
      </w:r>
      <w:r w:rsidRPr="00181512">
        <w:rPr>
          <w:rFonts w:asciiTheme="majorBidi" w:hAnsiTheme="majorBidi" w:cstheme="majorBidi"/>
          <w:sz w:val="24"/>
          <w:szCs w:val="24"/>
        </w:rPr>
        <w:t>The fourth challenge concerns the number of post-treatment periods. If there aren't enough post-treatment periods, it may limit our understanding of the policy's long-term impact. For instance, if the effects of Measure 110 emerged gradually over time or changed in magnitude or direction, a limited number of post-treatment periods may fail to capture these evolving effects.</w:t>
      </w:r>
      <w:r>
        <w:rPr>
          <w:rFonts w:asciiTheme="majorBidi" w:hAnsiTheme="majorBidi" w:cstheme="majorBidi"/>
          <w:sz w:val="24"/>
          <w:szCs w:val="24"/>
        </w:rPr>
        <w:t xml:space="preserve"> </w:t>
      </w:r>
      <w:r w:rsidRPr="00181512">
        <w:rPr>
          <w:rFonts w:asciiTheme="majorBidi" w:hAnsiTheme="majorBidi" w:cstheme="majorBidi"/>
          <w:sz w:val="24"/>
          <w:szCs w:val="24"/>
        </w:rPr>
        <w:t>Lastly, SCM exclusively uses interpolation, thereby restricting the synthetic control to be a convex combination of the units in the donor pool. This constraint could create a bias in the results if the synthetic control does not perfectly match the treated unit. That is, if no combination of control units closely resembles Oregon in the pre-treatment period, the synthetic control may be a poor counterfactual, leading to biased estimates of the treatment effect.</w:t>
      </w:r>
    </w:p>
    <w:p w14:paraId="2FD3AF4E" w14:textId="62F43B01" w:rsidR="00E1630C" w:rsidRPr="00181512" w:rsidRDefault="00181512" w:rsidP="00181512">
      <w:pPr>
        <w:spacing w:line="360" w:lineRule="auto"/>
        <w:ind w:firstLine="720"/>
        <w:rPr>
          <w:rFonts w:asciiTheme="majorBidi" w:hAnsiTheme="majorBidi" w:cstheme="majorBidi"/>
          <w:sz w:val="24"/>
          <w:szCs w:val="24"/>
        </w:rPr>
      </w:pPr>
      <w:r w:rsidRPr="00181512">
        <w:rPr>
          <w:rFonts w:asciiTheme="majorBidi" w:hAnsiTheme="majorBidi" w:cstheme="majorBidi"/>
          <w:sz w:val="24"/>
          <w:szCs w:val="24"/>
        </w:rPr>
        <w:t xml:space="preserve">To address these limitations and test the robustness of the results, several analyses have been conducted, including in-space and in-time placebo studies, leave-one-out robustness checks, and matching variable sensitivity analysis. Each of these analyses help validate the main findings and check the assumptions underlying the </w:t>
      </w:r>
      <w:r>
        <w:rPr>
          <w:rFonts w:asciiTheme="majorBidi" w:hAnsiTheme="majorBidi" w:cstheme="majorBidi"/>
          <w:sz w:val="24"/>
          <w:szCs w:val="24"/>
        </w:rPr>
        <w:t>SCM</w:t>
      </w:r>
      <w:r w:rsidRPr="00181512">
        <w:rPr>
          <w:rFonts w:asciiTheme="majorBidi" w:hAnsiTheme="majorBidi" w:cstheme="majorBidi"/>
          <w:sz w:val="24"/>
          <w:szCs w:val="24"/>
        </w:rPr>
        <w:t>.</w:t>
      </w:r>
    </w:p>
    <w:p w14:paraId="562B68B1" w14:textId="58A0E73B" w:rsidR="00C623D1" w:rsidRPr="00FE175E" w:rsidRDefault="00C623D1" w:rsidP="00C333C6">
      <w:pPr>
        <w:spacing w:line="360" w:lineRule="auto"/>
        <w:rPr>
          <w:rFonts w:asciiTheme="majorBidi" w:hAnsiTheme="majorBidi" w:cstheme="majorBidi"/>
          <w:b/>
          <w:bCs/>
          <w:sz w:val="28"/>
          <w:szCs w:val="28"/>
        </w:rPr>
      </w:pPr>
      <w:r w:rsidRPr="00FE175E">
        <w:rPr>
          <w:rFonts w:asciiTheme="majorBidi" w:hAnsiTheme="majorBidi" w:cstheme="majorBidi"/>
          <w:b/>
          <w:bCs/>
          <w:sz w:val="28"/>
          <w:szCs w:val="28"/>
        </w:rPr>
        <w:t>4. Data</w:t>
      </w:r>
    </w:p>
    <w:p w14:paraId="270EA47E" w14:textId="40010006" w:rsidR="00294F70" w:rsidRPr="00715078" w:rsidRDefault="00294F70" w:rsidP="00C333C6">
      <w:pPr>
        <w:spacing w:line="360" w:lineRule="auto"/>
        <w:rPr>
          <w:rFonts w:asciiTheme="majorBidi" w:hAnsiTheme="majorBidi" w:cstheme="majorBidi"/>
          <w:b/>
          <w:bCs/>
          <w:sz w:val="24"/>
          <w:szCs w:val="24"/>
        </w:rPr>
      </w:pPr>
      <w:r w:rsidRPr="00715078">
        <w:rPr>
          <w:rFonts w:asciiTheme="majorBidi" w:hAnsiTheme="majorBidi" w:cstheme="majorBidi"/>
          <w:b/>
          <w:bCs/>
          <w:sz w:val="24"/>
          <w:szCs w:val="24"/>
        </w:rPr>
        <w:t>4.1 Unintentional Drug Overdose Death Data</w:t>
      </w:r>
    </w:p>
    <w:p w14:paraId="0BE51AD4" w14:textId="436654AC" w:rsidR="001E031E" w:rsidRPr="001E031E" w:rsidRDefault="001E031E" w:rsidP="001E031E">
      <w:pPr>
        <w:spacing w:line="360" w:lineRule="auto"/>
        <w:rPr>
          <w:rFonts w:asciiTheme="majorBidi" w:hAnsiTheme="majorBidi" w:cstheme="majorBidi"/>
          <w:sz w:val="24"/>
          <w:szCs w:val="24"/>
        </w:rPr>
      </w:pPr>
      <w:r>
        <w:rPr>
          <w:rFonts w:asciiTheme="majorBidi" w:hAnsiTheme="majorBidi" w:cstheme="majorBidi"/>
          <w:sz w:val="24"/>
          <w:szCs w:val="24"/>
        </w:rPr>
        <w:t>T</w:t>
      </w:r>
      <w:r w:rsidRPr="001E031E">
        <w:rPr>
          <w:rFonts w:asciiTheme="majorBidi" w:hAnsiTheme="majorBidi" w:cstheme="majorBidi"/>
          <w:sz w:val="24"/>
          <w:szCs w:val="24"/>
        </w:rPr>
        <w:t xml:space="preserve">o investigate the impact of Measure 110 on overdose deaths, this study requires data on accidental drug overdose deaths in Oregon both before and after the implementation of Measure </w:t>
      </w:r>
      <w:r w:rsidRPr="001E031E">
        <w:rPr>
          <w:rFonts w:asciiTheme="majorBidi" w:hAnsiTheme="majorBidi" w:cstheme="majorBidi"/>
          <w:sz w:val="24"/>
          <w:szCs w:val="24"/>
        </w:rPr>
        <w:lastRenderedPageBreak/>
        <w:t>110. The data should be in panel format to facilitate the estimation of a synthetic control, which involves multiple pre-treatment periods and non-treated states in addition to Oregon post-treatment. For this analysis, the model utilizes data from the CDC's Provisional Multiple Cause of Death Data, covering the period from January 2018 to October 2022. These monthly data are categorized by the state of occurrence, including Washington D.C. However, Washington state is mostly excluded from the analysis due to its temporary decriminalization of drug possession in 2021, mandated by a court order.</w:t>
      </w:r>
    </w:p>
    <w:p w14:paraId="756CD278" w14:textId="47CB14E3" w:rsidR="001E031E" w:rsidRPr="001E031E" w:rsidRDefault="001E031E" w:rsidP="001E031E">
      <w:pPr>
        <w:spacing w:line="360" w:lineRule="auto"/>
        <w:ind w:firstLine="720"/>
        <w:rPr>
          <w:rFonts w:asciiTheme="majorBidi" w:hAnsiTheme="majorBidi" w:cstheme="majorBidi"/>
          <w:sz w:val="24"/>
          <w:szCs w:val="24"/>
        </w:rPr>
      </w:pPr>
      <w:r w:rsidRPr="001E031E">
        <w:rPr>
          <w:rFonts w:asciiTheme="majorBidi" w:hAnsiTheme="majorBidi" w:cstheme="majorBidi"/>
          <w:sz w:val="24"/>
          <w:szCs w:val="24"/>
        </w:rPr>
        <w:t>This state-level mortality data is derived from death certificates and includes one underlying cause of death, with the possibility of listing multiple additional causes. The study focuses specifically on deaths attributed to unintentional drug overdose, excluding those classified as suicidal, homicidal, or undetermined drug overdose deaths. For confidentiality purposes, if a particular state-month combination has fewer than 10 overdose deaths, the count is suppressed. States with suppressed values will be excluded from the primary analysis, and to ensure robustness, values between 0 and 9 will be randomly imputed using a uniform distribution. The nine states with suppressed data are Alaska, Hawaii, Idaho, Montana, Nebraska, North Dakota, South Dakota, Vermont, and Wyoming.</w:t>
      </w:r>
    </w:p>
    <w:p w14:paraId="3B0C86CF" w14:textId="6AD3335D" w:rsidR="00C623D1" w:rsidRPr="00715078" w:rsidRDefault="001E031E" w:rsidP="001E031E">
      <w:pPr>
        <w:spacing w:line="360" w:lineRule="auto"/>
        <w:ind w:firstLine="720"/>
        <w:rPr>
          <w:rFonts w:asciiTheme="majorBidi" w:hAnsiTheme="majorBidi" w:cstheme="majorBidi"/>
          <w:sz w:val="24"/>
          <w:szCs w:val="24"/>
        </w:rPr>
      </w:pPr>
      <w:r w:rsidRPr="001E031E">
        <w:rPr>
          <w:rFonts w:asciiTheme="majorBidi" w:hAnsiTheme="majorBidi" w:cstheme="majorBidi"/>
          <w:sz w:val="24"/>
          <w:szCs w:val="24"/>
        </w:rPr>
        <w:t>Table 1 displays the average monthly overdose deaths before and after various time points in the sample, indicating an increase in drug overdose deaths in several states, including Oregon, after lockdowns and the implementation of Measure 110, compared to previous years. Figure 1 illustrates the monthly count of drug overdose deaths in Oregon, contrasting it with the average count in the rest of the sample, revealing a similar overall trend. In this sample, California has the highest number of overdose deaths, with a total of 38,208 deaths recorded over the 58-month period. The month with the highest number of overdose deaths across all 50 states and D.C. is April 2021, with 8,713 deaths. Finally, the state-month pair with the most deaths is California in August 2021, recording 964 deaths.</w:t>
      </w:r>
    </w:p>
    <w:p w14:paraId="68BC2549" w14:textId="3D0A4A53" w:rsidR="00F05C8D" w:rsidRPr="00715078" w:rsidRDefault="00F05C8D" w:rsidP="00C333C6">
      <w:pPr>
        <w:spacing w:line="360" w:lineRule="auto"/>
        <w:rPr>
          <w:rFonts w:asciiTheme="majorBidi" w:hAnsiTheme="majorBidi" w:cstheme="majorBidi"/>
          <w:b/>
          <w:bCs/>
          <w:sz w:val="24"/>
          <w:szCs w:val="24"/>
        </w:rPr>
      </w:pPr>
      <w:r w:rsidRPr="00715078">
        <w:rPr>
          <w:rFonts w:asciiTheme="majorBidi" w:hAnsiTheme="majorBidi" w:cstheme="majorBidi"/>
          <w:b/>
          <w:bCs/>
          <w:sz w:val="24"/>
          <w:szCs w:val="24"/>
        </w:rPr>
        <w:t>4.2 Additional Predictor Variables</w:t>
      </w:r>
    </w:p>
    <w:p w14:paraId="5BF372B6" w14:textId="6075DECF" w:rsidR="003E404C" w:rsidRDefault="008142B8" w:rsidP="00C333C6">
      <w:pPr>
        <w:spacing w:line="360" w:lineRule="auto"/>
        <w:ind w:firstLine="720"/>
        <w:rPr>
          <w:rFonts w:asciiTheme="majorBidi" w:hAnsiTheme="majorBidi" w:cstheme="majorBidi"/>
          <w:sz w:val="24"/>
          <w:szCs w:val="24"/>
        </w:rPr>
      </w:pPr>
      <w:r>
        <w:rPr>
          <w:rFonts w:asciiTheme="majorBidi" w:hAnsiTheme="majorBidi" w:cstheme="majorBidi"/>
          <w:sz w:val="24"/>
          <w:szCs w:val="24"/>
        </w:rPr>
        <w:t xml:space="preserve">The </w:t>
      </w:r>
      <w:r w:rsidR="00181512">
        <w:rPr>
          <w:rFonts w:asciiTheme="majorBidi" w:hAnsiTheme="majorBidi" w:cstheme="majorBidi"/>
          <w:sz w:val="24"/>
          <w:szCs w:val="24"/>
        </w:rPr>
        <w:t>SCM</w:t>
      </w:r>
      <w:r>
        <w:rPr>
          <w:rFonts w:asciiTheme="majorBidi" w:hAnsiTheme="majorBidi" w:cstheme="majorBidi"/>
          <w:sz w:val="24"/>
          <w:szCs w:val="24"/>
        </w:rPr>
        <w:t xml:space="preserve"> is sensitive to the choice of matching variables.</w:t>
      </w:r>
      <w:r w:rsidR="003E404C">
        <w:rPr>
          <w:rFonts w:asciiTheme="majorBidi" w:hAnsiTheme="majorBidi" w:cstheme="majorBidi"/>
          <w:sz w:val="24"/>
          <w:szCs w:val="24"/>
        </w:rPr>
        <w:t xml:space="preserve"> Predictor variables should be relevant to the outcome of interest</w:t>
      </w:r>
      <w:r w:rsidR="00CF5D67">
        <w:rPr>
          <w:rFonts w:asciiTheme="majorBidi" w:hAnsiTheme="majorBidi" w:cstheme="majorBidi"/>
          <w:sz w:val="24"/>
          <w:szCs w:val="24"/>
        </w:rPr>
        <w:t>, by unaffected by the intervention, and have pre-treatment values available as matching is done on pre-treatment data.</w:t>
      </w:r>
      <w:r>
        <w:rPr>
          <w:rFonts w:asciiTheme="majorBidi" w:hAnsiTheme="majorBidi" w:cstheme="majorBidi"/>
          <w:sz w:val="24"/>
          <w:szCs w:val="24"/>
        </w:rPr>
        <w:t xml:space="preserve"> For this study, I gather fourteen additional variables to use as matching variables. From the 2019 American Community Survey </w:t>
      </w:r>
      <w:r>
        <w:rPr>
          <w:rFonts w:asciiTheme="majorBidi" w:hAnsiTheme="majorBidi" w:cstheme="majorBidi"/>
          <w:sz w:val="24"/>
          <w:szCs w:val="24"/>
        </w:rPr>
        <w:lastRenderedPageBreak/>
        <w:t xml:space="preserve">(ACS), I aggregate state-level statistics including the portion of people aged 15-24, the portion of people with grade 12 education or higher, the portion of people not living in metro or mixed-metro areas, the portion of people with any health insurance coverage, and the average personal wage income. The CDC’s </w:t>
      </w:r>
      <w:r w:rsidR="00417829" w:rsidRPr="00417829">
        <w:rPr>
          <w:rFonts w:asciiTheme="majorBidi" w:hAnsiTheme="majorBidi" w:cstheme="majorBidi"/>
          <w:sz w:val="24"/>
          <w:szCs w:val="24"/>
        </w:rPr>
        <w:t>Behavioral Risk Factor Surveillance System</w:t>
      </w:r>
      <w:r w:rsidR="00417829">
        <w:rPr>
          <w:rFonts w:asciiTheme="majorBidi" w:hAnsiTheme="majorBidi" w:cstheme="majorBidi"/>
          <w:sz w:val="24"/>
          <w:szCs w:val="24"/>
        </w:rPr>
        <w:t xml:space="preserve"> (</w:t>
      </w:r>
      <w:r>
        <w:rPr>
          <w:rFonts w:asciiTheme="majorBidi" w:hAnsiTheme="majorBidi" w:cstheme="majorBidi"/>
          <w:sz w:val="24"/>
          <w:szCs w:val="24"/>
        </w:rPr>
        <w:t>BRFSS</w:t>
      </w:r>
      <w:r w:rsidR="00417829">
        <w:rPr>
          <w:rFonts w:asciiTheme="majorBidi" w:hAnsiTheme="majorBidi" w:cstheme="majorBidi"/>
          <w:sz w:val="24"/>
          <w:szCs w:val="24"/>
        </w:rPr>
        <w:t xml:space="preserve">) provides information </w:t>
      </w:r>
      <w:r w:rsidR="00186ECB">
        <w:rPr>
          <w:rFonts w:asciiTheme="majorBidi" w:hAnsiTheme="majorBidi" w:cstheme="majorBidi"/>
          <w:sz w:val="24"/>
          <w:szCs w:val="24"/>
        </w:rPr>
        <w:t xml:space="preserve">on alcohol and tobacco consumption, </w:t>
      </w:r>
      <w:r w:rsidR="00051108">
        <w:rPr>
          <w:rFonts w:asciiTheme="majorBidi" w:hAnsiTheme="majorBidi" w:cstheme="majorBidi"/>
          <w:sz w:val="24"/>
          <w:szCs w:val="24"/>
        </w:rPr>
        <w:t xml:space="preserve">and I collect Year 2020 BRFSS state level percentages for the amount of people who have not met the criteria for heavy drinking, defined as </w:t>
      </w:r>
      <w:r w:rsidR="00051108" w:rsidRPr="00051108">
        <w:rPr>
          <w:rFonts w:asciiTheme="majorBidi" w:hAnsiTheme="majorBidi" w:cstheme="majorBidi"/>
          <w:sz w:val="24"/>
          <w:szCs w:val="24"/>
        </w:rPr>
        <w:t>adult men having more than 14 drinks per week and adult women having more than 7 drinks per week</w:t>
      </w:r>
      <w:r w:rsidR="00051108">
        <w:rPr>
          <w:rFonts w:asciiTheme="majorBidi" w:hAnsiTheme="majorBidi" w:cstheme="majorBidi"/>
          <w:sz w:val="24"/>
          <w:szCs w:val="24"/>
        </w:rPr>
        <w:t>, as well as percentages of the amount of people who currently smoke tobacco.</w:t>
      </w:r>
      <w:r w:rsidR="00DC17B1">
        <w:rPr>
          <w:rFonts w:asciiTheme="majorBidi" w:hAnsiTheme="majorBidi" w:cstheme="majorBidi"/>
          <w:sz w:val="24"/>
          <w:szCs w:val="24"/>
        </w:rPr>
        <w:t xml:space="preserve"> The </w:t>
      </w:r>
      <w:r w:rsidR="003E404C">
        <w:rPr>
          <w:rFonts w:asciiTheme="majorBidi" w:hAnsiTheme="majorBidi" w:cstheme="majorBidi"/>
          <w:sz w:val="24"/>
          <w:szCs w:val="24"/>
        </w:rPr>
        <w:t>BLS provides annual averages of unemployment rates for all US states and DC, and 2020 values are collected. The BEA maintains databases with information at the state level for annual GDP as well as per capita personal income, and 2020 values of nominal annual GDP for each state as well as values for real per capita personal income, in 2012 dollars, are collected.</w:t>
      </w:r>
    </w:p>
    <w:p w14:paraId="28809AB7" w14:textId="45596BC5" w:rsidR="00F05C8D" w:rsidRPr="003E404C" w:rsidRDefault="003E404C" w:rsidP="00C333C6">
      <w:pPr>
        <w:spacing w:line="360" w:lineRule="auto"/>
        <w:ind w:firstLine="720"/>
        <w:rPr>
          <w:rFonts w:asciiTheme="majorBidi" w:hAnsiTheme="majorBidi"/>
          <w:sz w:val="24"/>
          <w:szCs w:val="24"/>
        </w:rPr>
      </w:pPr>
      <w:r>
        <w:rPr>
          <w:rFonts w:asciiTheme="majorBidi" w:hAnsiTheme="majorBidi" w:cstheme="majorBidi"/>
          <w:sz w:val="24"/>
          <w:szCs w:val="24"/>
        </w:rPr>
        <w:t xml:space="preserve">Finally, dummy variables indicating the existence of five different policies in each state are constructed using data from the </w:t>
      </w:r>
      <w:r w:rsidRPr="003E404C">
        <w:rPr>
          <w:rFonts w:asciiTheme="majorBidi" w:hAnsiTheme="majorBidi"/>
          <w:sz w:val="24"/>
          <w:szCs w:val="24"/>
        </w:rPr>
        <w:t>Prescription Drug Abuse Policy System (PDAPS)</w:t>
      </w:r>
      <w:r>
        <w:rPr>
          <w:rFonts w:asciiTheme="majorBidi" w:hAnsiTheme="majorBidi"/>
          <w:sz w:val="24"/>
          <w:szCs w:val="24"/>
        </w:rPr>
        <w:t>. 1 January of 2021 was used as the data of analysis for these policies as this is the last pre-intervention month. The specific policies are whether or not the state provides immunity from civil liability to prescribers for prescribing, dispensing, or distributing naloxone to a layperson, whether or not the state provides immunity from criminal prosecution to dispensers for prescribing, dispensing, or distributing naloxone to a layperson, whether or not the state has a drug overdose good Samaritan law, whether or not the state has syringe service providers operating within it, and whether or not the state considers substance use disorder as sufficient reasoning for involuntary commitment.</w:t>
      </w:r>
      <w:r w:rsidR="00E21454">
        <w:rPr>
          <w:rFonts w:asciiTheme="majorBidi" w:hAnsiTheme="majorBidi"/>
          <w:sz w:val="24"/>
          <w:szCs w:val="24"/>
        </w:rPr>
        <w:t xml:space="preserve"> </w:t>
      </w:r>
      <w:r w:rsidR="00E21454">
        <w:rPr>
          <w:rFonts w:asciiTheme="majorBidi" w:hAnsiTheme="majorBidi"/>
          <w:sz w:val="24"/>
          <w:szCs w:val="24"/>
        </w:rPr>
        <w:t>Table 2 displays</w:t>
      </w:r>
      <w:r w:rsidR="00E21454">
        <w:rPr>
          <w:rFonts w:asciiTheme="majorBidi" w:hAnsiTheme="majorBidi"/>
          <w:sz w:val="24"/>
          <w:szCs w:val="24"/>
        </w:rPr>
        <w:t xml:space="preserve"> a comparison of Oregon’s values to an average of the donor pool state’s values.</w:t>
      </w:r>
    </w:p>
    <w:p w14:paraId="4B9CC791" w14:textId="77777777" w:rsidR="00E1630C" w:rsidRPr="00E1630C" w:rsidRDefault="00E1630C" w:rsidP="00C333C6">
      <w:pPr>
        <w:spacing w:line="360" w:lineRule="auto"/>
        <w:rPr>
          <w:rFonts w:asciiTheme="majorBidi" w:hAnsiTheme="majorBidi" w:cstheme="majorBidi"/>
          <w:b/>
          <w:bCs/>
          <w:sz w:val="24"/>
          <w:szCs w:val="24"/>
        </w:rPr>
      </w:pPr>
    </w:p>
    <w:p w14:paraId="6A9C83F8" w14:textId="172D9AEA" w:rsidR="00C623D1" w:rsidRPr="00FE175E" w:rsidRDefault="00C623D1" w:rsidP="00C333C6">
      <w:pPr>
        <w:spacing w:line="360" w:lineRule="auto"/>
        <w:rPr>
          <w:rFonts w:asciiTheme="majorBidi" w:hAnsiTheme="majorBidi" w:cstheme="majorBidi"/>
          <w:b/>
          <w:bCs/>
          <w:sz w:val="28"/>
          <w:szCs w:val="28"/>
        </w:rPr>
      </w:pPr>
      <w:r w:rsidRPr="00FE175E">
        <w:rPr>
          <w:rFonts w:asciiTheme="majorBidi" w:hAnsiTheme="majorBidi" w:cstheme="majorBidi"/>
          <w:b/>
          <w:bCs/>
          <w:sz w:val="28"/>
          <w:szCs w:val="28"/>
        </w:rPr>
        <w:t>5. Results</w:t>
      </w:r>
    </w:p>
    <w:p w14:paraId="117FB9F5" w14:textId="77777777" w:rsidR="00C623D1" w:rsidRPr="00715078" w:rsidRDefault="00C623D1" w:rsidP="00C333C6">
      <w:pPr>
        <w:spacing w:line="360" w:lineRule="auto"/>
        <w:rPr>
          <w:rFonts w:asciiTheme="majorBidi" w:hAnsiTheme="majorBidi" w:cstheme="majorBidi"/>
          <w:b/>
          <w:bCs/>
          <w:sz w:val="24"/>
          <w:szCs w:val="24"/>
        </w:rPr>
      </w:pPr>
      <w:r w:rsidRPr="00715078">
        <w:rPr>
          <w:rFonts w:asciiTheme="majorBidi" w:hAnsiTheme="majorBidi" w:cstheme="majorBidi"/>
          <w:b/>
          <w:bCs/>
          <w:sz w:val="24"/>
          <w:szCs w:val="24"/>
        </w:rPr>
        <w:t>5.1 Results</w:t>
      </w:r>
    </w:p>
    <w:p w14:paraId="6197E442" w14:textId="014344D6" w:rsidR="00C623D1" w:rsidRPr="001B6FC6" w:rsidRDefault="00C623D1" w:rsidP="001B6FC6">
      <w:pPr>
        <w:spacing w:line="360" w:lineRule="auto"/>
        <w:rPr>
          <w:rFonts w:asciiTheme="majorBidi" w:hAnsiTheme="majorBidi" w:cstheme="majorBidi"/>
          <w:sz w:val="24"/>
          <w:szCs w:val="24"/>
        </w:rPr>
      </w:pPr>
      <w:r w:rsidRPr="006201EC">
        <w:rPr>
          <w:rFonts w:asciiTheme="majorBidi" w:hAnsiTheme="majorBidi" w:cstheme="majorBidi"/>
          <w:sz w:val="24"/>
          <w:szCs w:val="24"/>
        </w:rPr>
        <w:t>Figure 2 displays the pre- and post-treatment trends in drug overdose deaths in Oregon and the synthetic control.</w:t>
      </w:r>
      <w:r w:rsidR="006201EC" w:rsidRPr="006201EC">
        <w:rPr>
          <w:rFonts w:asciiTheme="majorBidi" w:hAnsiTheme="majorBidi" w:cstheme="majorBidi"/>
          <w:sz w:val="24"/>
          <w:szCs w:val="24"/>
        </w:rPr>
        <w:t xml:space="preserve"> </w:t>
      </w:r>
      <w:r w:rsidR="005A1181">
        <w:rPr>
          <w:rFonts w:asciiTheme="majorBidi" w:hAnsiTheme="majorBidi" w:cstheme="majorBidi"/>
          <w:sz w:val="24"/>
          <w:szCs w:val="24"/>
        </w:rPr>
        <w:t xml:space="preserve">The solid line plots Oregon’s actual values while the dashed line plots the values of Synthetic Oregon. </w:t>
      </w:r>
      <w:r w:rsidR="006201EC" w:rsidRPr="006201EC">
        <w:rPr>
          <w:rFonts w:asciiTheme="majorBidi" w:hAnsiTheme="majorBidi" w:cstheme="majorBidi"/>
          <w:sz w:val="24"/>
          <w:szCs w:val="24"/>
        </w:rPr>
        <w:t xml:space="preserve">This main model uses all mentioned predictor variables as matching </w:t>
      </w:r>
      <w:r w:rsidR="006201EC" w:rsidRPr="006201EC">
        <w:rPr>
          <w:rFonts w:asciiTheme="majorBidi" w:hAnsiTheme="majorBidi" w:cstheme="majorBidi"/>
          <w:sz w:val="24"/>
          <w:szCs w:val="24"/>
        </w:rPr>
        <w:lastRenderedPageBreak/>
        <w:t>variables, including the average value of monthly overdose deaths during the pre-treatment time period.</w:t>
      </w:r>
      <w:r w:rsidRPr="006201EC">
        <w:rPr>
          <w:rFonts w:asciiTheme="majorBidi" w:hAnsiTheme="majorBidi" w:cstheme="majorBidi"/>
          <w:sz w:val="24"/>
          <w:szCs w:val="24"/>
        </w:rPr>
        <w:t xml:space="preserve"> The synthetic Oregon closely approximates the actual Oregon's pre-treatment trends in overdose deaths. However, after Measure 110 was implemented, the trends in overdose deaths for the actual Oregon and synthetic control began to diverge. This divergence indicates the estimated treatment effect of Measure 110. Figure 3 depicts the gap between Oregon and the estimated counterfactual. </w:t>
      </w:r>
      <w:r w:rsidR="001B6FC6" w:rsidRPr="006201EC">
        <w:rPr>
          <w:rFonts w:asciiTheme="majorBidi" w:hAnsiTheme="majorBidi" w:cstheme="majorBidi"/>
          <w:sz w:val="24"/>
          <w:szCs w:val="24"/>
        </w:rPr>
        <w:t xml:space="preserve">Table </w:t>
      </w:r>
      <w:r w:rsidR="001B6FC6">
        <w:rPr>
          <w:rFonts w:asciiTheme="majorBidi" w:hAnsiTheme="majorBidi" w:cstheme="majorBidi"/>
          <w:sz w:val="24"/>
          <w:szCs w:val="24"/>
        </w:rPr>
        <w:t>3</w:t>
      </w:r>
      <w:r w:rsidR="001B6FC6" w:rsidRPr="006201EC">
        <w:rPr>
          <w:rFonts w:asciiTheme="majorBidi" w:hAnsiTheme="majorBidi" w:cstheme="majorBidi"/>
          <w:sz w:val="24"/>
          <w:szCs w:val="24"/>
        </w:rPr>
        <w:t xml:space="preserve"> presents the optimally chosen weights for each donor state. Illinois, Maine Maryland, Nevada, New Hampshire, New Mexico,</w:t>
      </w:r>
      <w:r w:rsidR="001B6FC6">
        <w:rPr>
          <w:rFonts w:asciiTheme="majorBidi" w:hAnsiTheme="majorBidi" w:cstheme="majorBidi"/>
          <w:sz w:val="24"/>
          <w:szCs w:val="24"/>
        </w:rPr>
        <w:t xml:space="preserve"> and</w:t>
      </w:r>
      <w:r w:rsidR="001B6FC6" w:rsidRPr="006201EC">
        <w:rPr>
          <w:rFonts w:asciiTheme="majorBidi" w:hAnsiTheme="majorBidi" w:cstheme="majorBidi"/>
          <w:sz w:val="24"/>
          <w:szCs w:val="24"/>
        </w:rPr>
        <w:t xml:space="preserve"> Rhode Island</w:t>
      </w:r>
      <w:r w:rsidR="001B6FC6">
        <w:rPr>
          <w:rFonts w:asciiTheme="majorBidi" w:hAnsiTheme="majorBidi" w:cstheme="majorBidi"/>
          <w:sz w:val="24"/>
          <w:szCs w:val="24"/>
        </w:rPr>
        <w:t xml:space="preserve"> receive positive weight in the construction of the main synthetic control.</w:t>
      </w:r>
    </w:p>
    <w:p w14:paraId="1B1CAE4A" w14:textId="77777777" w:rsidR="00C623D1" w:rsidRPr="00F7371C" w:rsidRDefault="00C623D1" w:rsidP="00C333C6">
      <w:pPr>
        <w:spacing w:line="360" w:lineRule="auto"/>
        <w:rPr>
          <w:rFonts w:asciiTheme="majorBidi" w:hAnsiTheme="majorBidi" w:cstheme="majorBidi"/>
          <w:b/>
          <w:bCs/>
          <w:sz w:val="24"/>
          <w:szCs w:val="24"/>
        </w:rPr>
      </w:pPr>
      <w:r w:rsidRPr="00F7371C">
        <w:rPr>
          <w:rFonts w:asciiTheme="majorBidi" w:hAnsiTheme="majorBidi" w:cstheme="majorBidi"/>
          <w:b/>
          <w:bCs/>
          <w:sz w:val="24"/>
          <w:szCs w:val="24"/>
        </w:rPr>
        <w:t>5.2 Inference</w:t>
      </w:r>
    </w:p>
    <w:p w14:paraId="36571F74" w14:textId="11BE88D0" w:rsidR="00C623D1" w:rsidRPr="00305D3C" w:rsidRDefault="00C623D1" w:rsidP="00C333C6">
      <w:pPr>
        <w:spacing w:line="360" w:lineRule="auto"/>
        <w:rPr>
          <w:rFonts w:asciiTheme="majorBidi" w:hAnsiTheme="majorBidi" w:cstheme="majorBidi"/>
          <w:sz w:val="24"/>
          <w:szCs w:val="24"/>
        </w:rPr>
      </w:pPr>
      <w:r w:rsidRPr="00305D3C">
        <w:rPr>
          <w:rFonts w:asciiTheme="majorBidi" w:hAnsiTheme="majorBidi" w:cstheme="majorBidi"/>
          <w:sz w:val="24"/>
          <w:szCs w:val="24"/>
        </w:rPr>
        <w:t xml:space="preserve">To assess the statistical significance and robustness of the results, I conduct both in-space and in-time placebo </w:t>
      </w:r>
      <w:r w:rsidR="009E16BA" w:rsidRPr="00305D3C">
        <w:rPr>
          <w:rFonts w:asciiTheme="majorBidi" w:hAnsiTheme="majorBidi" w:cstheme="majorBidi"/>
          <w:sz w:val="24"/>
          <w:szCs w:val="24"/>
        </w:rPr>
        <w:t>studies</w:t>
      </w:r>
      <w:r w:rsidRPr="00305D3C">
        <w:rPr>
          <w:rFonts w:asciiTheme="majorBidi" w:hAnsiTheme="majorBidi" w:cstheme="majorBidi"/>
          <w:sz w:val="24"/>
          <w:szCs w:val="24"/>
        </w:rPr>
        <w:t>. The in-space placebo studies involve reassigning the treatment to different states and examining the distribution of treatment effects. The in-time placebo studies involve reassessing the treatment's timing, assigning it to a month before the actual implementation of Measure 110.</w:t>
      </w:r>
      <w:r w:rsidR="009E16BA" w:rsidRPr="00305D3C">
        <w:rPr>
          <w:rFonts w:asciiTheme="majorBidi" w:hAnsiTheme="majorBidi" w:cstheme="majorBidi"/>
          <w:sz w:val="24"/>
          <w:szCs w:val="24"/>
        </w:rPr>
        <w:t xml:space="preserve"> Table </w:t>
      </w:r>
      <w:r w:rsidR="00E21454">
        <w:rPr>
          <w:rFonts w:asciiTheme="majorBidi" w:hAnsiTheme="majorBidi" w:cstheme="majorBidi"/>
          <w:sz w:val="24"/>
          <w:szCs w:val="24"/>
        </w:rPr>
        <w:t>4</w:t>
      </w:r>
      <w:r w:rsidR="009E16BA" w:rsidRPr="00305D3C">
        <w:rPr>
          <w:rFonts w:asciiTheme="majorBidi" w:hAnsiTheme="majorBidi" w:cstheme="majorBidi"/>
          <w:sz w:val="24"/>
          <w:szCs w:val="24"/>
        </w:rPr>
        <w:t xml:space="preserve"> presents the estimated monthly treatment effects and their corresponding p-values, from running general in-space placebo test.</w:t>
      </w:r>
    </w:p>
    <w:p w14:paraId="6AA1F14A" w14:textId="77777777" w:rsidR="001B6FC6" w:rsidRPr="001B6FC6" w:rsidRDefault="001B6FC6" w:rsidP="001B6FC6">
      <w:pPr>
        <w:spacing w:line="360" w:lineRule="auto"/>
        <w:ind w:firstLine="720"/>
        <w:rPr>
          <w:rFonts w:asciiTheme="majorBidi" w:hAnsiTheme="majorBidi" w:cstheme="majorBidi"/>
          <w:sz w:val="24"/>
          <w:szCs w:val="24"/>
        </w:rPr>
      </w:pPr>
      <w:r w:rsidRPr="001B6FC6">
        <w:rPr>
          <w:rFonts w:asciiTheme="majorBidi" w:hAnsiTheme="majorBidi" w:cstheme="majorBidi"/>
          <w:sz w:val="24"/>
          <w:szCs w:val="24"/>
        </w:rPr>
        <w:t>In the 20 months from March 2021 to October 2022, each gap appears statistically significant; moreover, in those 20 months the synthetic Oregon experienced 528 less unintentional drug overdose deaths than the observed Oregon. In those 20 months, the data shows that Oregon experienced 1852 overdose deaths compared to the synthetic Oregon’s 1324, implying that Measure 110 increased drug overdose deaths in Oregon by 40% in the time period of March 2021 to October 2022.</w:t>
      </w:r>
    </w:p>
    <w:p w14:paraId="475E856C" w14:textId="46179CCE" w:rsidR="00C623D1" w:rsidRPr="00C06E76" w:rsidRDefault="00C623D1" w:rsidP="00C333C6">
      <w:pPr>
        <w:spacing w:line="360" w:lineRule="auto"/>
        <w:ind w:firstLine="720"/>
        <w:rPr>
          <w:rFonts w:asciiTheme="majorBidi" w:hAnsiTheme="majorBidi" w:cstheme="majorBidi"/>
          <w:sz w:val="24"/>
          <w:szCs w:val="24"/>
        </w:rPr>
      </w:pPr>
      <w:r w:rsidRPr="00C06E76">
        <w:rPr>
          <w:rFonts w:asciiTheme="majorBidi" w:hAnsiTheme="majorBidi" w:cstheme="majorBidi"/>
          <w:sz w:val="24"/>
          <w:szCs w:val="24"/>
        </w:rPr>
        <w:t>The results of the in-space placebo studies indicate that the probability of obtaining a post/pre-Measure 110 MSPE ratio as large as Oregon's is 0.02439, suggesting the observed treatment effect is unlikely to be purely coincidental; specifically, the monthly estimated treatment values are statistically significant for every post-intervention month in the sample except for</w:t>
      </w:r>
      <w:r w:rsidR="00C06E76" w:rsidRPr="00C06E76">
        <w:rPr>
          <w:rFonts w:asciiTheme="majorBidi" w:hAnsiTheme="majorBidi" w:cstheme="majorBidi"/>
          <w:sz w:val="24"/>
          <w:szCs w:val="24"/>
        </w:rPr>
        <w:t xml:space="preserve"> February 2021, the </w:t>
      </w:r>
      <w:r w:rsidRPr="00C06E76">
        <w:rPr>
          <w:rFonts w:asciiTheme="majorBidi" w:hAnsiTheme="majorBidi" w:cstheme="majorBidi"/>
          <w:sz w:val="24"/>
          <w:szCs w:val="24"/>
        </w:rPr>
        <w:t xml:space="preserve">first treated month. Excluding the </w:t>
      </w:r>
      <w:r w:rsidR="00C06E76" w:rsidRPr="00C06E76">
        <w:rPr>
          <w:rFonts w:asciiTheme="majorBidi" w:hAnsiTheme="majorBidi" w:cstheme="majorBidi"/>
          <w:sz w:val="24"/>
          <w:szCs w:val="24"/>
        </w:rPr>
        <w:t xml:space="preserve">first </w:t>
      </w:r>
      <w:r w:rsidRPr="00C06E76">
        <w:rPr>
          <w:rFonts w:asciiTheme="majorBidi" w:hAnsiTheme="majorBidi" w:cstheme="majorBidi"/>
          <w:sz w:val="24"/>
          <w:szCs w:val="24"/>
        </w:rPr>
        <w:t xml:space="preserve">month </w:t>
      </w:r>
      <w:r w:rsidR="00C06E76" w:rsidRPr="00C06E76">
        <w:rPr>
          <w:rFonts w:asciiTheme="majorBidi" w:hAnsiTheme="majorBidi" w:cstheme="majorBidi"/>
          <w:sz w:val="24"/>
          <w:szCs w:val="24"/>
        </w:rPr>
        <w:t>of</w:t>
      </w:r>
      <w:r w:rsidRPr="00C06E76">
        <w:rPr>
          <w:rFonts w:asciiTheme="majorBidi" w:hAnsiTheme="majorBidi" w:cstheme="majorBidi"/>
          <w:sz w:val="24"/>
          <w:szCs w:val="24"/>
        </w:rPr>
        <w:t xml:space="preserve"> implementation, the results indicate that a total of </w:t>
      </w:r>
      <w:r w:rsidR="00C06E76" w:rsidRPr="00C06E76">
        <w:rPr>
          <w:rFonts w:asciiTheme="majorBidi" w:hAnsiTheme="majorBidi" w:cstheme="majorBidi"/>
          <w:sz w:val="24"/>
          <w:szCs w:val="24"/>
        </w:rPr>
        <w:t xml:space="preserve">528 </w:t>
      </w:r>
      <w:r w:rsidRPr="00C06E76">
        <w:rPr>
          <w:rFonts w:asciiTheme="majorBidi" w:hAnsiTheme="majorBidi" w:cstheme="majorBidi"/>
          <w:sz w:val="24"/>
          <w:szCs w:val="24"/>
        </w:rPr>
        <w:t>statistically significant extra overdose deaths occurred in Oregon—or about 2</w:t>
      </w:r>
      <w:r w:rsidR="00C06E76" w:rsidRPr="00C06E76">
        <w:rPr>
          <w:rFonts w:asciiTheme="majorBidi" w:hAnsiTheme="majorBidi" w:cstheme="majorBidi"/>
          <w:sz w:val="24"/>
          <w:szCs w:val="24"/>
        </w:rPr>
        <w:t>6</w:t>
      </w:r>
      <w:r w:rsidRPr="00C06E76">
        <w:rPr>
          <w:rFonts w:asciiTheme="majorBidi" w:hAnsiTheme="majorBidi" w:cstheme="majorBidi"/>
          <w:sz w:val="24"/>
          <w:szCs w:val="24"/>
        </w:rPr>
        <w:t xml:space="preserve"> extra deaths per month.</w:t>
      </w:r>
    </w:p>
    <w:p w14:paraId="103169BD" w14:textId="77777777" w:rsidR="00C623D1" w:rsidRPr="00912CF2" w:rsidRDefault="00C623D1" w:rsidP="00C333C6">
      <w:pPr>
        <w:spacing w:line="360" w:lineRule="auto"/>
        <w:rPr>
          <w:rFonts w:asciiTheme="majorBidi" w:hAnsiTheme="majorBidi" w:cstheme="majorBidi"/>
          <w:b/>
          <w:bCs/>
          <w:sz w:val="24"/>
          <w:szCs w:val="24"/>
        </w:rPr>
      </w:pPr>
      <w:r w:rsidRPr="00912CF2">
        <w:rPr>
          <w:rFonts w:asciiTheme="majorBidi" w:hAnsiTheme="majorBidi" w:cstheme="majorBidi"/>
          <w:b/>
          <w:bCs/>
          <w:sz w:val="24"/>
          <w:szCs w:val="24"/>
        </w:rPr>
        <w:t>5.3 Robustness Checks</w:t>
      </w:r>
    </w:p>
    <w:p w14:paraId="435637B8" w14:textId="4DF578A5" w:rsidR="00912CF2" w:rsidRPr="00FE175E" w:rsidRDefault="00912CF2" w:rsidP="00FE175E">
      <w:pPr>
        <w:spacing w:line="360" w:lineRule="auto"/>
        <w:rPr>
          <w:rFonts w:asciiTheme="majorBidi" w:hAnsiTheme="majorBidi" w:cstheme="majorBidi"/>
          <w:sz w:val="24"/>
          <w:szCs w:val="24"/>
        </w:rPr>
      </w:pPr>
      <w:r w:rsidRPr="00FE175E">
        <w:rPr>
          <w:rFonts w:asciiTheme="majorBidi" w:hAnsiTheme="majorBidi" w:cstheme="majorBidi"/>
          <w:sz w:val="24"/>
          <w:szCs w:val="24"/>
        </w:rPr>
        <w:lastRenderedPageBreak/>
        <w:t>I perform leave-one-out robustness checks</w:t>
      </w:r>
      <w:r w:rsidR="00A87759" w:rsidRPr="00FE175E">
        <w:rPr>
          <w:rFonts w:asciiTheme="majorBidi" w:hAnsiTheme="majorBidi" w:cstheme="majorBidi"/>
          <w:sz w:val="24"/>
          <w:szCs w:val="24"/>
        </w:rPr>
        <w:t xml:space="preserve">, checking to see if any one donor is having an outsized impact on the construction of the synthetic control. Dropping each of the positively weighted states one at a time, I find no impact to the result. This suggests that no individual state is responsible for the synthetic, building </w:t>
      </w:r>
      <w:r w:rsidR="00684A52">
        <w:rPr>
          <w:rFonts w:asciiTheme="majorBidi" w:hAnsiTheme="majorBidi" w:cstheme="majorBidi"/>
          <w:sz w:val="24"/>
          <w:szCs w:val="24"/>
        </w:rPr>
        <w:t>the</w:t>
      </w:r>
      <w:r w:rsidR="00A87759" w:rsidRPr="00FE175E">
        <w:rPr>
          <w:rFonts w:asciiTheme="majorBidi" w:hAnsiTheme="majorBidi" w:cstheme="majorBidi"/>
          <w:sz w:val="24"/>
          <w:szCs w:val="24"/>
        </w:rPr>
        <w:t xml:space="preserve"> credibility</w:t>
      </w:r>
      <w:r w:rsidR="00684A52">
        <w:rPr>
          <w:rFonts w:asciiTheme="majorBidi" w:hAnsiTheme="majorBidi" w:cstheme="majorBidi"/>
          <w:sz w:val="24"/>
          <w:szCs w:val="24"/>
        </w:rPr>
        <w:t xml:space="preserve"> of </w:t>
      </w:r>
      <w:r w:rsidR="001E031E">
        <w:rPr>
          <w:rFonts w:asciiTheme="majorBidi" w:hAnsiTheme="majorBidi" w:cstheme="majorBidi"/>
          <w:sz w:val="24"/>
          <w:szCs w:val="24"/>
        </w:rPr>
        <w:t>the</w:t>
      </w:r>
      <w:r w:rsidR="00684A52">
        <w:rPr>
          <w:rFonts w:asciiTheme="majorBidi" w:hAnsiTheme="majorBidi" w:cstheme="majorBidi"/>
          <w:sz w:val="24"/>
          <w:szCs w:val="24"/>
        </w:rPr>
        <w:t xml:space="preserve"> result</w:t>
      </w:r>
      <w:r w:rsidR="00A87759" w:rsidRPr="00FE175E">
        <w:rPr>
          <w:rFonts w:asciiTheme="majorBidi" w:hAnsiTheme="majorBidi" w:cstheme="majorBidi"/>
          <w:sz w:val="24"/>
          <w:szCs w:val="24"/>
        </w:rPr>
        <w:t xml:space="preserve">. Additionally, </w:t>
      </w:r>
      <w:r w:rsidRPr="00FE175E">
        <w:rPr>
          <w:rFonts w:asciiTheme="majorBidi" w:hAnsiTheme="majorBidi" w:cstheme="majorBidi"/>
          <w:sz w:val="24"/>
          <w:szCs w:val="24"/>
        </w:rPr>
        <w:t>I</w:t>
      </w:r>
      <w:r w:rsidR="004444E0" w:rsidRPr="00FE175E">
        <w:rPr>
          <w:rFonts w:asciiTheme="majorBidi" w:hAnsiTheme="majorBidi" w:cstheme="majorBidi"/>
          <w:sz w:val="24"/>
          <w:szCs w:val="24"/>
        </w:rPr>
        <w:t xml:space="preserve"> n</w:t>
      </w:r>
      <w:r w:rsidRPr="00FE175E">
        <w:rPr>
          <w:rFonts w:asciiTheme="majorBidi" w:hAnsiTheme="majorBidi" w:cstheme="majorBidi"/>
          <w:sz w:val="24"/>
          <w:szCs w:val="24"/>
        </w:rPr>
        <w:t xml:space="preserve">ote that performing bias-correction synthetic control does not change the </w:t>
      </w:r>
      <w:r w:rsidR="007B777D" w:rsidRPr="00FE175E">
        <w:rPr>
          <w:rFonts w:asciiTheme="majorBidi" w:hAnsiTheme="majorBidi" w:cstheme="majorBidi"/>
          <w:sz w:val="24"/>
          <w:szCs w:val="24"/>
        </w:rPr>
        <w:t xml:space="preserve">results nor does imputing random values for the suppressed data and </w:t>
      </w:r>
      <w:r w:rsidR="00333C95" w:rsidRPr="00FE175E">
        <w:rPr>
          <w:rFonts w:asciiTheme="majorBidi" w:hAnsiTheme="majorBidi" w:cstheme="majorBidi"/>
          <w:sz w:val="24"/>
          <w:szCs w:val="24"/>
        </w:rPr>
        <w:t>running</w:t>
      </w:r>
      <w:r w:rsidR="007B777D" w:rsidRPr="00FE175E">
        <w:rPr>
          <w:rFonts w:asciiTheme="majorBidi" w:hAnsiTheme="majorBidi" w:cstheme="majorBidi"/>
          <w:sz w:val="24"/>
          <w:szCs w:val="24"/>
        </w:rPr>
        <w:t xml:space="preserve"> the analysis on that data</w:t>
      </w:r>
      <w:r w:rsidR="0028167B" w:rsidRPr="00FE175E">
        <w:rPr>
          <w:rFonts w:asciiTheme="majorBidi" w:hAnsiTheme="majorBidi" w:cstheme="majorBidi"/>
          <w:sz w:val="24"/>
          <w:szCs w:val="24"/>
        </w:rPr>
        <w:t>. Performing matching variable sensitivity analysis reveals that my data cannot construct a good synthetic match without using the level of drug overdose deaths itself as a matching variable. Moreover, the BRFSS data on alcohol and tobacco consumption provides relevant information contributing to a better pre-trend match. The demographic and medical coverage variables from the ACS also aid in the construction of the synthetic control but to a lesser extent. The policy dummies do not appear to contribute much helpful information to the estimation. Checking the robustness against many different predictor variable specifications reveals strong robustness to matching variables</w:t>
      </w:r>
      <w:r w:rsidR="00BB6557" w:rsidRPr="00FE175E">
        <w:rPr>
          <w:rFonts w:asciiTheme="majorBidi" w:hAnsiTheme="majorBidi" w:cstheme="majorBidi"/>
          <w:sz w:val="24"/>
          <w:szCs w:val="24"/>
        </w:rPr>
        <w:t xml:space="preserve">, except for to the omission of </w:t>
      </w:r>
      <w:r w:rsidR="0028167B" w:rsidRPr="00FE175E">
        <w:rPr>
          <w:rFonts w:asciiTheme="majorBidi" w:hAnsiTheme="majorBidi" w:cstheme="majorBidi"/>
          <w:sz w:val="24"/>
          <w:szCs w:val="24"/>
        </w:rPr>
        <w:t>outcome variable itself</w:t>
      </w:r>
      <w:r w:rsidR="00BB6557" w:rsidRPr="00FE175E">
        <w:rPr>
          <w:rFonts w:asciiTheme="majorBidi" w:hAnsiTheme="majorBidi" w:cstheme="majorBidi"/>
          <w:sz w:val="24"/>
          <w:szCs w:val="24"/>
        </w:rPr>
        <w:t xml:space="preserve"> in the list of matching variables.</w:t>
      </w:r>
    </w:p>
    <w:p w14:paraId="52B2218B" w14:textId="7B720450" w:rsidR="00C623D1" w:rsidRPr="00FE175E" w:rsidRDefault="00912CF2" w:rsidP="00FE175E">
      <w:pPr>
        <w:spacing w:line="360" w:lineRule="auto"/>
        <w:ind w:firstLine="720"/>
        <w:rPr>
          <w:rFonts w:asciiTheme="majorBidi" w:hAnsiTheme="majorBidi" w:cstheme="majorBidi"/>
          <w:color w:val="FF0000"/>
          <w:sz w:val="24"/>
          <w:szCs w:val="24"/>
        </w:rPr>
      </w:pPr>
      <w:r w:rsidRPr="00FE175E">
        <w:rPr>
          <w:rFonts w:asciiTheme="majorBidi" w:hAnsiTheme="majorBidi" w:cstheme="majorBidi"/>
          <w:sz w:val="24"/>
          <w:szCs w:val="24"/>
        </w:rPr>
        <w:t xml:space="preserve">In addition to the leave-one-out robustness checks and bias correction, </w:t>
      </w:r>
      <w:r w:rsidR="00C623D1" w:rsidRPr="00FE175E">
        <w:rPr>
          <w:rFonts w:asciiTheme="majorBidi" w:hAnsiTheme="majorBidi" w:cstheme="majorBidi"/>
          <w:sz w:val="24"/>
          <w:szCs w:val="24"/>
        </w:rPr>
        <w:t>I conduct two in-time placebo tests, using the month of Measure 110’s passage in November 2020 following Spencer (2022) and a test using the month of the first stay-at-home order issued in Oregon in March 2020.</w:t>
      </w:r>
      <w:r w:rsidR="0017471A" w:rsidRPr="00FE175E">
        <w:rPr>
          <w:rFonts w:asciiTheme="majorBidi" w:hAnsiTheme="majorBidi" w:cstheme="majorBidi"/>
          <w:sz w:val="24"/>
          <w:szCs w:val="24"/>
        </w:rPr>
        <w:t xml:space="preserve"> </w:t>
      </w:r>
      <w:r w:rsidR="00632A8C" w:rsidRPr="00FE175E">
        <w:rPr>
          <w:rFonts w:asciiTheme="majorBidi" w:hAnsiTheme="majorBidi" w:cstheme="majorBidi"/>
          <w:sz w:val="24"/>
          <w:szCs w:val="24"/>
        </w:rPr>
        <w:t>Figure 4 shows the differing trends when conducting an in-time placebo test using March 2020 as the treatment date, suggesting that the COVID-19 pandemic and its associated stay-at-home order did not cause the observed increase in overdose deaths after Measure 110. Figure 5 shows the results from the in-time placebo test using November 2020 as the treatment period, the month that Measure 110 was passed by Oregon voters. The result shows some weak evidence of an anticipatory impact as the spike in overdose deaths in Oregon in January 2021 is significant. Overall, the robustness checks do not seriously discredit the main results.</w:t>
      </w:r>
    </w:p>
    <w:p w14:paraId="675DC7FA" w14:textId="77777777" w:rsidR="003B386C" w:rsidRPr="003B386C" w:rsidRDefault="003B386C" w:rsidP="00C333C6">
      <w:pPr>
        <w:spacing w:line="360" w:lineRule="auto"/>
        <w:rPr>
          <w:rFonts w:asciiTheme="majorBidi" w:hAnsiTheme="majorBidi" w:cstheme="majorBidi"/>
          <w:b/>
          <w:bCs/>
          <w:sz w:val="24"/>
          <w:szCs w:val="24"/>
        </w:rPr>
      </w:pPr>
    </w:p>
    <w:p w14:paraId="3A403FEC" w14:textId="77777777" w:rsidR="0082569E" w:rsidRDefault="00C623D1" w:rsidP="0082569E">
      <w:pPr>
        <w:spacing w:line="360" w:lineRule="auto"/>
        <w:rPr>
          <w:rFonts w:asciiTheme="majorBidi" w:hAnsiTheme="majorBidi" w:cstheme="majorBidi"/>
          <w:b/>
          <w:bCs/>
          <w:sz w:val="28"/>
          <w:szCs w:val="28"/>
        </w:rPr>
      </w:pPr>
      <w:r w:rsidRPr="00FE175E">
        <w:rPr>
          <w:rFonts w:asciiTheme="majorBidi" w:hAnsiTheme="majorBidi" w:cstheme="majorBidi"/>
          <w:b/>
          <w:bCs/>
          <w:sz w:val="28"/>
          <w:szCs w:val="28"/>
        </w:rPr>
        <w:t>6. Conclusion</w:t>
      </w:r>
      <w:r w:rsidR="0082569E" w:rsidRPr="0082569E">
        <w:rPr>
          <w:rFonts w:asciiTheme="majorBidi" w:hAnsiTheme="majorBidi" w:cstheme="majorBidi"/>
          <w:b/>
          <w:bCs/>
          <w:sz w:val="28"/>
          <w:szCs w:val="28"/>
        </w:rPr>
        <w:t xml:space="preserve"> </w:t>
      </w:r>
      <w:r w:rsidR="0082569E">
        <w:rPr>
          <w:rFonts w:asciiTheme="majorBidi" w:hAnsiTheme="majorBidi" w:cstheme="majorBidi"/>
          <w:b/>
          <w:bCs/>
          <w:sz w:val="28"/>
          <w:szCs w:val="28"/>
        </w:rPr>
        <w:t xml:space="preserve">and </w:t>
      </w:r>
      <w:r w:rsidR="0082569E" w:rsidRPr="00FE175E">
        <w:rPr>
          <w:rFonts w:asciiTheme="majorBidi" w:hAnsiTheme="majorBidi" w:cstheme="majorBidi"/>
          <w:b/>
          <w:bCs/>
          <w:sz w:val="28"/>
          <w:szCs w:val="28"/>
        </w:rPr>
        <w:t>Discussion</w:t>
      </w:r>
    </w:p>
    <w:p w14:paraId="56BBDBCF" w14:textId="7B45A7B8" w:rsidR="003B386C" w:rsidRPr="003B386C" w:rsidRDefault="003B386C" w:rsidP="0082569E">
      <w:pPr>
        <w:spacing w:line="360" w:lineRule="auto"/>
        <w:rPr>
          <w:rFonts w:asciiTheme="majorBidi" w:hAnsiTheme="majorBidi" w:cstheme="majorBidi"/>
          <w:b/>
          <w:bCs/>
          <w:sz w:val="24"/>
          <w:szCs w:val="24"/>
        </w:rPr>
      </w:pPr>
      <w:r w:rsidRPr="003B386C">
        <w:rPr>
          <w:rFonts w:asciiTheme="majorBidi" w:hAnsiTheme="majorBidi" w:cstheme="majorBidi"/>
          <w:b/>
          <w:bCs/>
          <w:sz w:val="24"/>
          <w:szCs w:val="24"/>
        </w:rPr>
        <w:t>6.</w:t>
      </w:r>
      <w:r>
        <w:rPr>
          <w:rFonts w:asciiTheme="majorBidi" w:hAnsiTheme="majorBidi" w:cstheme="majorBidi"/>
          <w:b/>
          <w:bCs/>
          <w:sz w:val="24"/>
          <w:szCs w:val="24"/>
        </w:rPr>
        <w:t>1</w:t>
      </w:r>
      <w:r w:rsidRPr="003B386C">
        <w:rPr>
          <w:rFonts w:asciiTheme="majorBidi" w:hAnsiTheme="majorBidi" w:cstheme="majorBidi"/>
          <w:b/>
          <w:bCs/>
          <w:sz w:val="24"/>
          <w:szCs w:val="24"/>
        </w:rPr>
        <w:t xml:space="preserve"> </w:t>
      </w:r>
      <w:r>
        <w:rPr>
          <w:rFonts w:asciiTheme="majorBidi" w:hAnsiTheme="majorBidi" w:cstheme="majorBidi"/>
          <w:b/>
          <w:bCs/>
          <w:sz w:val="24"/>
          <w:szCs w:val="24"/>
        </w:rPr>
        <w:t>Conclusion</w:t>
      </w:r>
    </w:p>
    <w:p w14:paraId="3E10E956" w14:textId="1807DBEE" w:rsidR="008E2D58" w:rsidRPr="003B386C" w:rsidRDefault="00C623D1" w:rsidP="008E2D58">
      <w:pPr>
        <w:spacing w:line="360" w:lineRule="auto"/>
        <w:rPr>
          <w:rFonts w:asciiTheme="majorBidi" w:hAnsiTheme="majorBidi" w:cstheme="majorBidi"/>
          <w:b/>
          <w:bCs/>
          <w:sz w:val="24"/>
          <w:szCs w:val="24"/>
        </w:rPr>
      </w:pPr>
      <w:r w:rsidRPr="0017471A">
        <w:rPr>
          <w:rFonts w:asciiTheme="majorBidi" w:hAnsiTheme="majorBidi" w:cstheme="majorBidi"/>
          <w:sz w:val="24"/>
          <w:szCs w:val="24"/>
        </w:rPr>
        <w:t xml:space="preserve">This study aimed to investigate the impact of Measure 110 on overdose deaths in Oregon. Using a synthetic control approach, I found that there was a significant increase in overdose deaths </w:t>
      </w:r>
      <w:r w:rsidRPr="0017471A">
        <w:rPr>
          <w:rFonts w:asciiTheme="majorBidi" w:hAnsiTheme="majorBidi" w:cstheme="majorBidi"/>
          <w:sz w:val="24"/>
          <w:szCs w:val="24"/>
        </w:rPr>
        <w:lastRenderedPageBreak/>
        <w:t xml:space="preserve">following the implementation of Measure 110. My findings revealed </w:t>
      </w:r>
      <w:r w:rsidR="00BB6557" w:rsidRPr="0017471A">
        <w:rPr>
          <w:rFonts w:asciiTheme="majorBidi" w:hAnsiTheme="majorBidi" w:cstheme="majorBidi"/>
          <w:sz w:val="24"/>
          <w:szCs w:val="24"/>
        </w:rPr>
        <w:t>a</w:t>
      </w:r>
      <w:r w:rsidRPr="0017471A">
        <w:rPr>
          <w:rFonts w:asciiTheme="majorBidi" w:hAnsiTheme="majorBidi" w:cstheme="majorBidi"/>
          <w:sz w:val="24"/>
          <w:szCs w:val="24"/>
        </w:rPr>
        <w:t xml:space="preserve"> </w:t>
      </w:r>
      <w:r w:rsidR="00BB6557" w:rsidRPr="0017471A">
        <w:rPr>
          <w:rFonts w:asciiTheme="majorBidi" w:hAnsiTheme="majorBidi" w:cstheme="majorBidi"/>
          <w:sz w:val="24"/>
          <w:szCs w:val="24"/>
        </w:rPr>
        <w:t xml:space="preserve">statistically significant </w:t>
      </w:r>
      <w:r w:rsidRPr="0017471A">
        <w:rPr>
          <w:rFonts w:asciiTheme="majorBidi" w:hAnsiTheme="majorBidi" w:cstheme="majorBidi"/>
          <w:sz w:val="24"/>
          <w:szCs w:val="24"/>
        </w:rPr>
        <w:t xml:space="preserve">estimated treatment effect of </w:t>
      </w:r>
      <w:r w:rsidR="00BB6557" w:rsidRPr="0017471A">
        <w:rPr>
          <w:rFonts w:asciiTheme="majorBidi" w:hAnsiTheme="majorBidi" w:cstheme="majorBidi"/>
          <w:sz w:val="24"/>
          <w:szCs w:val="24"/>
        </w:rPr>
        <w:t>528</w:t>
      </w:r>
      <w:r w:rsidRPr="0017471A">
        <w:rPr>
          <w:rFonts w:asciiTheme="majorBidi" w:hAnsiTheme="majorBidi" w:cstheme="majorBidi"/>
          <w:sz w:val="24"/>
          <w:szCs w:val="24"/>
        </w:rPr>
        <w:t xml:space="preserve"> additional overdose deaths in the 20 </w:t>
      </w:r>
      <w:r w:rsidR="00BB6557" w:rsidRPr="0017471A">
        <w:rPr>
          <w:rFonts w:asciiTheme="majorBidi" w:hAnsiTheme="majorBidi" w:cstheme="majorBidi"/>
          <w:sz w:val="24"/>
          <w:szCs w:val="24"/>
        </w:rPr>
        <w:t xml:space="preserve">months from March 2021 </w:t>
      </w:r>
    </w:p>
    <w:p w14:paraId="5042988B" w14:textId="4F9B69D4" w:rsidR="008E2D58" w:rsidRPr="0017471A" w:rsidRDefault="00BB6557" w:rsidP="008E2D58">
      <w:pPr>
        <w:spacing w:line="360" w:lineRule="auto"/>
        <w:rPr>
          <w:rFonts w:asciiTheme="majorBidi" w:hAnsiTheme="majorBidi" w:cstheme="majorBidi"/>
          <w:sz w:val="24"/>
          <w:szCs w:val="24"/>
        </w:rPr>
      </w:pPr>
      <w:r w:rsidRPr="0017471A">
        <w:rPr>
          <w:rFonts w:asciiTheme="majorBidi" w:hAnsiTheme="majorBidi" w:cstheme="majorBidi"/>
          <w:sz w:val="24"/>
          <w:szCs w:val="24"/>
        </w:rPr>
        <w:t>Several robustness checks show strong support for the result.</w:t>
      </w:r>
      <w:r w:rsidR="008E2D58">
        <w:rPr>
          <w:rFonts w:asciiTheme="majorBidi" w:hAnsiTheme="majorBidi" w:cstheme="majorBidi"/>
          <w:sz w:val="24"/>
          <w:szCs w:val="24"/>
        </w:rPr>
        <w:t xml:space="preserve"> As my analysis studies drug overdose deaths at the state-level, the results could conceal county- or city-level heterogeneity in the response to Measure 110 in Oregon.</w:t>
      </w:r>
    </w:p>
    <w:p w14:paraId="007C1FB5" w14:textId="32E33BD5" w:rsidR="008E2D58" w:rsidRDefault="00BB6557" w:rsidP="008E2D58">
      <w:pPr>
        <w:spacing w:line="360" w:lineRule="auto"/>
        <w:ind w:firstLine="720"/>
        <w:rPr>
          <w:rFonts w:asciiTheme="majorBidi" w:hAnsiTheme="majorBidi" w:cstheme="majorBidi"/>
          <w:sz w:val="24"/>
          <w:szCs w:val="24"/>
        </w:rPr>
      </w:pPr>
      <w:r w:rsidRPr="0017471A">
        <w:rPr>
          <w:rFonts w:asciiTheme="majorBidi" w:hAnsiTheme="majorBidi" w:cstheme="majorBidi"/>
          <w:sz w:val="24"/>
          <w:szCs w:val="24"/>
        </w:rPr>
        <w:t>This</w:t>
      </w:r>
      <w:r w:rsidR="00C623D1" w:rsidRPr="0017471A">
        <w:rPr>
          <w:rFonts w:asciiTheme="majorBidi" w:hAnsiTheme="majorBidi" w:cstheme="majorBidi"/>
          <w:sz w:val="24"/>
          <w:szCs w:val="24"/>
        </w:rPr>
        <w:t xml:space="preserve"> analysis has many inherent limitations. While the method offers a valuable means of estimating causal effects, it depends on the accuracy of the control group and is very sensitive to the choice of predictive variables. </w:t>
      </w:r>
      <w:r w:rsidR="008E2D58">
        <w:rPr>
          <w:rFonts w:asciiTheme="majorBidi" w:hAnsiTheme="majorBidi" w:cstheme="majorBidi"/>
          <w:sz w:val="24"/>
          <w:szCs w:val="24"/>
        </w:rPr>
        <w:t xml:space="preserve">Notably, supply-side factors that may potentially conflate, such as fentanyl availability, have not been incorporated in this study. </w:t>
      </w:r>
      <w:r w:rsidR="00C623D1" w:rsidRPr="0017471A">
        <w:rPr>
          <w:rFonts w:asciiTheme="majorBidi" w:hAnsiTheme="majorBidi" w:cstheme="majorBidi"/>
          <w:sz w:val="24"/>
          <w:szCs w:val="24"/>
        </w:rPr>
        <w:t>All potential outcomes methods rely on the assumption that the trend would have been consistent with the control in the absence of treatment. Furthermore, my analysis focused on the first 2</w:t>
      </w:r>
      <w:r w:rsidRPr="0017471A">
        <w:rPr>
          <w:rFonts w:asciiTheme="majorBidi" w:hAnsiTheme="majorBidi" w:cstheme="majorBidi"/>
          <w:sz w:val="24"/>
          <w:szCs w:val="24"/>
        </w:rPr>
        <w:t xml:space="preserve">1 </w:t>
      </w:r>
      <w:r w:rsidR="00C623D1" w:rsidRPr="0017471A">
        <w:rPr>
          <w:rFonts w:asciiTheme="majorBidi" w:hAnsiTheme="majorBidi" w:cstheme="majorBidi"/>
          <w:sz w:val="24"/>
          <w:szCs w:val="24"/>
        </w:rPr>
        <w:t>months of Measure 110 and may not capture the longer-term consequences of the program. Other factors—such as the COVID-19 pandemic and associated lockdowns</w:t>
      </w:r>
      <w:r w:rsidRPr="0017471A">
        <w:rPr>
          <w:rFonts w:asciiTheme="majorBidi" w:hAnsiTheme="majorBidi" w:cstheme="majorBidi"/>
          <w:sz w:val="24"/>
          <w:szCs w:val="24"/>
        </w:rPr>
        <w:t xml:space="preserve"> or economic changes</w:t>
      </w:r>
      <w:r w:rsidR="00C623D1" w:rsidRPr="0017471A">
        <w:rPr>
          <w:rFonts w:asciiTheme="majorBidi" w:hAnsiTheme="majorBidi" w:cstheme="majorBidi"/>
          <w:sz w:val="24"/>
          <w:szCs w:val="24"/>
        </w:rPr>
        <w:t>—may have contributed to the observed increase in overdose deaths. It should also be emphasized that Measure 110 may have other important outcomes such as arrests and incarcerations that have not been studied in this paper.</w:t>
      </w:r>
      <w:r w:rsidR="0017471A" w:rsidRPr="0017471A">
        <w:rPr>
          <w:rFonts w:asciiTheme="majorBidi" w:hAnsiTheme="majorBidi" w:cstheme="majorBidi"/>
          <w:sz w:val="24"/>
          <w:szCs w:val="24"/>
        </w:rPr>
        <w:t xml:space="preserve"> This study has only investigated Measure 110’s impacts on overdose deaths, which does not address the large component of Measure 110 focused on criminal reform, judicial cost savings, and changes to stigma around getting treatment</w:t>
      </w:r>
      <w:r w:rsidR="008E2D58">
        <w:rPr>
          <w:rFonts w:asciiTheme="majorBidi" w:hAnsiTheme="majorBidi" w:cstheme="majorBidi"/>
          <w:sz w:val="24"/>
          <w:szCs w:val="24"/>
        </w:rPr>
        <w:t>.</w:t>
      </w:r>
    </w:p>
    <w:p w14:paraId="310C5155" w14:textId="092AD09C" w:rsidR="00C623D1" w:rsidRPr="008E2D58" w:rsidRDefault="008E2D58" w:rsidP="008E2D58">
      <w:pPr>
        <w:spacing w:line="360" w:lineRule="auto"/>
        <w:ind w:firstLine="720"/>
        <w:rPr>
          <w:rFonts w:asciiTheme="majorBidi" w:hAnsiTheme="majorBidi" w:cstheme="majorBidi"/>
          <w:b/>
          <w:bCs/>
          <w:sz w:val="24"/>
          <w:szCs w:val="24"/>
        </w:rPr>
      </w:pPr>
      <w:r w:rsidRPr="003B386C">
        <w:rPr>
          <w:rFonts w:asciiTheme="majorBidi" w:hAnsiTheme="majorBidi" w:cstheme="majorBidi"/>
          <w:b/>
          <w:bCs/>
          <w:sz w:val="24"/>
          <w:szCs w:val="24"/>
        </w:rPr>
        <w:t>6.</w:t>
      </w:r>
      <w:r>
        <w:rPr>
          <w:rFonts w:asciiTheme="majorBidi" w:hAnsiTheme="majorBidi" w:cstheme="majorBidi"/>
          <w:b/>
          <w:bCs/>
          <w:sz w:val="24"/>
          <w:szCs w:val="24"/>
        </w:rPr>
        <w:t>2</w:t>
      </w:r>
      <w:r w:rsidRPr="003B386C">
        <w:rPr>
          <w:rFonts w:asciiTheme="majorBidi" w:hAnsiTheme="majorBidi" w:cstheme="majorBidi"/>
          <w:b/>
          <w:bCs/>
          <w:sz w:val="24"/>
          <w:szCs w:val="24"/>
        </w:rPr>
        <w:t xml:space="preserve"> Discussion</w:t>
      </w:r>
    </w:p>
    <w:p w14:paraId="0D19DA6E" w14:textId="0D4DBBCF" w:rsidR="0006353B" w:rsidRPr="0017471A" w:rsidRDefault="0006353B" w:rsidP="00C333C6">
      <w:pPr>
        <w:spacing w:line="360" w:lineRule="auto"/>
        <w:ind w:firstLine="720"/>
        <w:rPr>
          <w:rFonts w:asciiTheme="majorBidi" w:hAnsiTheme="majorBidi" w:cstheme="majorBidi"/>
          <w:sz w:val="24"/>
          <w:szCs w:val="24"/>
        </w:rPr>
      </w:pPr>
      <w:r>
        <w:rPr>
          <w:rFonts w:asciiTheme="majorBidi" w:hAnsiTheme="majorBidi" w:cstheme="majorBidi"/>
          <w:sz w:val="24"/>
          <w:szCs w:val="24"/>
        </w:rPr>
        <w:t>The mechanisms underlying the increase in overdose deaths can be speculated at. The impact may be a short-term initial boost of overdose deaths associated with the change of drug policy, without a lasting increase, as has been seen in some cases of cannabis decriminalization (</w:t>
      </w:r>
      <w:r w:rsidRPr="006B14DF">
        <w:rPr>
          <w:rFonts w:asciiTheme="majorBidi" w:hAnsiTheme="majorBidi" w:cstheme="majorBidi"/>
          <w:sz w:val="24"/>
          <w:szCs w:val="24"/>
        </w:rPr>
        <w:t>Williams and Bretteville-Jensen, 2014</w:t>
      </w:r>
      <w:r>
        <w:rPr>
          <w:rFonts w:asciiTheme="majorBidi" w:hAnsiTheme="majorBidi" w:cstheme="majorBidi"/>
          <w:sz w:val="24"/>
          <w:szCs w:val="24"/>
        </w:rPr>
        <w:t xml:space="preserve">). </w:t>
      </w:r>
      <w:r w:rsidR="00A277E7">
        <w:rPr>
          <w:rFonts w:asciiTheme="majorBidi" w:hAnsiTheme="majorBidi" w:cstheme="majorBidi"/>
          <w:sz w:val="24"/>
          <w:szCs w:val="24"/>
        </w:rPr>
        <w:t xml:space="preserve">My results are consistent with Spencer (2022), finding an increase in drug overdose deaths after Measure 110, but inconsistent with </w:t>
      </w:r>
      <w:r w:rsidR="00A277E7" w:rsidRPr="006B14DF">
        <w:rPr>
          <w:rFonts w:asciiTheme="majorBidi" w:hAnsiTheme="majorBidi" w:cstheme="majorBidi"/>
          <w:sz w:val="24"/>
          <w:szCs w:val="24"/>
        </w:rPr>
        <w:t>Félix et al. (2017</w:t>
      </w:r>
      <w:r w:rsidR="00A277E7">
        <w:rPr>
          <w:rFonts w:asciiTheme="majorBidi" w:hAnsiTheme="majorBidi" w:cstheme="majorBidi"/>
          <w:sz w:val="24"/>
          <w:szCs w:val="24"/>
        </w:rPr>
        <w:t>) who found a decrease in overdose deaths after Portugal decriminalized drugs. The cause of this discrepancy between Measure 110 and Portugal can only be speculated at, with the shorter time period of analysis on Measure 110 potentially contributing, as well as the fact that Portugal’s decriminalization included a more immediate and direct investment in a health-services approach to drug addiction. Oregon has been slow to rollout the treatment side of Measure 110, and might be able to reverse the trend in overdose deaths with sufficient treatment.</w:t>
      </w:r>
    </w:p>
    <w:p w14:paraId="4098EC0A" w14:textId="743A3E19" w:rsidR="00C623D1" w:rsidRPr="00715078" w:rsidRDefault="00C623D1" w:rsidP="00C333C6">
      <w:pPr>
        <w:spacing w:line="360" w:lineRule="auto"/>
        <w:ind w:firstLine="720"/>
        <w:rPr>
          <w:rFonts w:asciiTheme="majorBidi" w:hAnsiTheme="majorBidi" w:cstheme="majorBidi"/>
          <w:sz w:val="24"/>
          <w:szCs w:val="24"/>
        </w:rPr>
      </w:pPr>
      <w:r w:rsidRPr="0017471A">
        <w:rPr>
          <w:rFonts w:asciiTheme="majorBidi" w:hAnsiTheme="majorBidi" w:cstheme="majorBidi"/>
          <w:sz w:val="24"/>
          <w:szCs w:val="24"/>
        </w:rPr>
        <w:lastRenderedPageBreak/>
        <w:t>This study adds to the discourse on drug policy reform, particularly the potential overdose implications of decriminalizing drug possession. The result indicates a need for adopting a holistic and multifaceted approach to drug policy that incorporates not only decriminalization, but also emphasizes improved access to treatment, implementation of harm reduction strategies, and the development of preventive measures.</w:t>
      </w:r>
      <w:r w:rsidR="00610603" w:rsidRPr="0017471A">
        <w:rPr>
          <w:rFonts w:asciiTheme="majorBidi" w:hAnsiTheme="majorBidi" w:cstheme="majorBidi"/>
          <w:sz w:val="24"/>
          <w:szCs w:val="24"/>
        </w:rPr>
        <w:t xml:space="preserve"> I</w:t>
      </w:r>
      <w:r w:rsidRPr="0017471A">
        <w:rPr>
          <w:rFonts w:asciiTheme="majorBidi" w:hAnsiTheme="majorBidi" w:cstheme="majorBidi"/>
          <w:sz w:val="24"/>
          <w:szCs w:val="24"/>
        </w:rPr>
        <w:t xml:space="preserve"> </w:t>
      </w:r>
      <w:r w:rsidR="00610603" w:rsidRPr="0017471A">
        <w:rPr>
          <w:rFonts w:asciiTheme="majorBidi" w:hAnsiTheme="majorBidi" w:cstheme="majorBidi"/>
          <w:sz w:val="24"/>
          <w:szCs w:val="24"/>
        </w:rPr>
        <w:t>recommend</w:t>
      </w:r>
      <w:r w:rsidRPr="0017471A">
        <w:rPr>
          <w:rFonts w:asciiTheme="majorBidi" w:hAnsiTheme="majorBidi" w:cstheme="majorBidi"/>
          <w:sz w:val="24"/>
          <w:szCs w:val="24"/>
        </w:rPr>
        <w:t xml:space="preserve"> that future research continues to assess the long-term repercussions of Measure 110, while delving into the optimal integration of treatment and harm-reduction services with decriminalization to address the complex issue of drug addiction and the prevalence of overdose deaths.</w:t>
      </w:r>
      <w:r w:rsidRPr="00715078">
        <w:rPr>
          <w:rFonts w:asciiTheme="majorBidi" w:hAnsiTheme="majorBidi" w:cstheme="majorBidi"/>
          <w:strike/>
          <w:sz w:val="24"/>
          <w:szCs w:val="24"/>
        </w:rPr>
        <w:br w:type="page"/>
      </w:r>
    </w:p>
    <w:p w14:paraId="45A42462" w14:textId="77777777" w:rsidR="00C623D1" w:rsidRPr="00FE175E" w:rsidRDefault="00C623D1" w:rsidP="00C333C6">
      <w:pPr>
        <w:spacing w:line="360" w:lineRule="auto"/>
        <w:rPr>
          <w:rFonts w:asciiTheme="majorBidi" w:hAnsiTheme="majorBidi" w:cstheme="majorBidi"/>
          <w:b/>
          <w:bCs/>
          <w:sz w:val="28"/>
          <w:szCs w:val="28"/>
        </w:rPr>
      </w:pPr>
      <w:r w:rsidRPr="00FE175E">
        <w:rPr>
          <w:rFonts w:asciiTheme="majorBidi" w:hAnsiTheme="majorBidi" w:cstheme="majorBidi"/>
          <w:b/>
          <w:bCs/>
          <w:sz w:val="28"/>
          <w:szCs w:val="28"/>
        </w:rPr>
        <w:lastRenderedPageBreak/>
        <w:t>References</w:t>
      </w:r>
    </w:p>
    <w:p w14:paraId="45149AE5" w14:textId="77777777" w:rsidR="00C623D1" w:rsidRPr="00715078" w:rsidRDefault="00C623D1" w:rsidP="00C333C6">
      <w:pPr>
        <w:spacing w:line="360" w:lineRule="auto"/>
        <w:ind w:left="720" w:hanging="720"/>
        <w:rPr>
          <w:rFonts w:asciiTheme="majorBidi" w:hAnsiTheme="majorBidi" w:cstheme="majorBidi"/>
          <w:sz w:val="24"/>
          <w:szCs w:val="24"/>
        </w:rPr>
      </w:pPr>
      <w:proofErr w:type="spellStart"/>
      <w:r w:rsidRPr="00715078">
        <w:rPr>
          <w:rFonts w:asciiTheme="majorBidi" w:hAnsiTheme="majorBidi" w:cstheme="majorBidi"/>
          <w:sz w:val="24"/>
          <w:szCs w:val="24"/>
        </w:rPr>
        <w:t>Abadie</w:t>
      </w:r>
      <w:proofErr w:type="spellEnd"/>
      <w:r w:rsidRPr="00715078">
        <w:rPr>
          <w:rFonts w:asciiTheme="majorBidi" w:hAnsiTheme="majorBidi" w:cstheme="majorBidi"/>
          <w:sz w:val="24"/>
          <w:szCs w:val="24"/>
        </w:rPr>
        <w:t>, Alberto, and Diamond, Alexis and Hainmueller, Jens. 2010. “Synthetic Control Methods for Comparative Case Studies: Estimating the Effect of California’s Tobacco Control Program.” </w:t>
      </w:r>
      <w:r w:rsidRPr="00715078">
        <w:rPr>
          <w:rFonts w:asciiTheme="majorBidi" w:hAnsiTheme="majorBidi" w:cstheme="majorBidi"/>
          <w:i/>
          <w:iCs/>
          <w:sz w:val="24"/>
          <w:szCs w:val="24"/>
        </w:rPr>
        <w:t xml:space="preserve">Journal of the American Statistical Association, </w:t>
      </w:r>
      <w:r w:rsidRPr="00715078">
        <w:rPr>
          <w:rFonts w:asciiTheme="majorBidi" w:hAnsiTheme="majorBidi" w:cstheme="majorBidi"/>
          <w:sz w:val="24"/>
          <w:szCs w:val="24"/>
        </w:rPr>
        <w:t>Vol. 105, No. 490, pp. 493–505.</w:t>
      </w:r>
    </w:p>
    <w:p w14:paraId="42870E1F" w14:textId="33E86994" w:rsidR="00C623D1" w:rsidRPr="00715078" w:rsidRDefault="00C623D1" w:rsidP="00C333C6">
      <w:pPr>
        <w:spacing w:line="360" w:lineRule="auto"/>
        <w:ind w:left="720" w:hanging="720"/>
        <w:rPr>
          <w:rFonts w:asciiTheme="majorBidi" w:hAnsiTheme="majorBidi" w:cstheme="majorBidi"/>
          <w:sz w:val="24"/>
          <w:szCs w:val="24"/>
        </w:rPr>
      </w:pPr>
      <w:r w:rsidRPr="00715078">
        <w:rPr>
          <w:rFonts w:asciiTheme="majorBidi" w:hAnsiTheme="majorBidi" w:cstheme="majorBidi"/>
          <w:sz w:val="24"/>
          <w:szCs w:val="24"/>
        </w:rPr>
        <w:t>Abadie, Alberto, and Gardeazabal, Javier. 2003. “The Economic Costs of Conflict: A Case Study of the Basque Country.” </w:t>
      </w:r>
      <w:r w:rsidRPr="00715078">
        <w:rPr>
          <w:rFonts w:asciiTheme="majorBidi" w:hAnsiTheme="majorBidi" w:cstheme="majorBidi"/>
          <w:i/>
          <w:iCs/>
          <w:sz w:val="24"/>
          <w:szCs w:val="24"/>
        </w:rPr>
        <w:t>American Economic Review</w:t>
      </w:r>
      <w:r w:rsidR="00884243">
        <w:rPr>
          <w:rFonts w:asciiTheme="majorBidi" w:hAnsiTheme="majorBidi" w:cstheme="majorBidi"/>
          <w:sz w:val="24"/>
          <w:szCs w:val="24"/>
        </w:rPr>
        <w:t xml:space="preserve">, Vol. </w:t>
      </w:r>
      <w:r w:rsidRPr="00715078">
        <w:rPr>
          <w:rFonts w:asciiTheme="majorBidi" w:hAnsiTheme="majorBidi" w:cstheme="majorBidi"/>
          <w:sz w:val="24"/>
          <w:szCs w:val="24"/>
        </w:rPr>
        <w:t>93</w:t>
      </w:r>
      <w:r w:rsidR="00884243">
        <w:rPr>
          <w:rFonts w:asciiTheme="majorBidi" w:hAnsiTheme="majorBidi" w:cstheme="majorBidi"/>
          <w:sz w:val="24"/>
          <w:szCs w:val="24"/>
        </w:rPr>
        <w:t xml:space="preserve">, No. </w:t>
      </w:r>
      <w:r w:rsidRPr="00715078">
        <w:rPr>
          <w:rFonts w:asciiTheme="majorBidi" w:hAnsiTheme="majorBidi" w:cstheme="majorBidi"/>
          <w:sz w:val="24"/>
          <w:szCs w:val="24"/>
        </w:rPr>
        <w:t>1</w:t>
      </w:r>
      <w:r w:rsidR="00884243">
        <w:rPr>
          <w:rFonts w:asciiTheme="majorBidi" w:hAnsiTheme="majorBidi" w:cstheme="majorBidi"/>
          <w:sz w:val="24"/>
          <w:szCs w:val="24"/>
        </w:rPr>
        <w:t>, pp.</w:t>
      </w:r>
      <w:r w:rsidRPr="00715078">
        <w:rPr>
          <w:rFonts w:asciiTheme="majorBidi" w:hAnsiTheme="majorBidi" w:cstheme="majorBidi"/>
          <w:sz w:val="24"/>
          <w:szCs w:val="24"/>
        </w:rPr>
        <w:t xml:space="preserve"> 113–32.</w:t>
      </w:r>
    </w:p>
    <w:p w14:paraId="52358750" w14:textId="6EE2E920" w:rsidR="00C623D1" w:rsidRPr="00715078" w:rsidRDefault="00C623D1" w:rsidP="00C333C6">
      <w:pPr>
        <w:spacing w:line="360" w:lineRule="auto"/>
        <w:ind w:left="720" w:hanging="720"/>
        <w:rPr>
          <w:rFonts w:asciiTheme="majorBidi" w:hAnsiTheme="majorBidi" w:cstheme="majorBidi"/>
          <w:sz w:val="24"/>
          <w:szCs w:val="24"/>
        </w:rPr>
      </w:pPr>
      <w:r w:rsidRPr="00715078">
        <w:rPr>
          <w:rFonts w:asciiTheme="majorBidi" w:hAnsiTheme="majorBidi" w:cstheme="majorBidi"/>
          <w:sz w:val="24"/>
          <w:szCs w:val="24"/>
        </w:rPr>
        <w:t xml:space="preserve">Appa, </w:t>
      </w:r>
      <w:r w:rsidR="003D161C" w:rsidRPr="003D161C">
        <w:rPr>
          <w:rFonts w:asciiTheme="majorBidi" w:hAnsiTheme="majorBidi" w:cstheme="majorBidi"/>
          <w:sz w:val="24"/>
          <w:szCs w:val="24"/>
        </w:rPr>
        <w:t>Ayesha</w:t>
      </w:r>
      <w:r w:rsidRPr="00715078">
        <w:rPr>
          <w:rFonts w:asciiTheme="majorBidi" w:hAnsiTheme="majorBidi" w:cstheme="majorBidi"/>
          <w:sz w:val="24"/>
          <w:szCs w:val="24"/>
        </w:rPr>
        <w:t xml:space="preserve">, and Rodda, Luke, and Cawley, Caroline, and Zevin, Barry, and Coffin, Phillip and Gandhi, Monica, and Imbert, Elizabeth. 2021. “Drug Overdose Deaths Before and After Shelter-in-Place Orders During the COVID-19 Pandemic in San Francisco”, </w:t>
      </w:r>
      <w:r w:rsidRPr="00715078">
        <w:rPr>
          <w:rFonts w:asciiTheme="majorBidi" w:hAnsiTheme="majorBidi" w:cstheme="majorBidi"/>
          <w:i/>
          <w:iCs/>
          <w:sz w:val="24"/>
          <w:szCs w:val="24"/>
        </w:rPr>
        <w:t>JAMA</w:t>
      </w:r>
      <w:r w:rsidRPr="00715078">
        <w:rPr>
          <w:rFonts w:asciiTheme="majorBidi" w:hAnsiTheme="majorBidi" w:cstheme="majorBidi"/>
          <w:sz w:val="24"/>
          <w:szCs w:val="24"/>
        </w:rPr>
        <w:t xml:space="preserve"> </w:t>
      </w:r>
      <w:r w:rsidRPr="00715078">
        <w:rPr>
          <w:rFonts w:asciiTheme="majorBidi" w:hAnsiTheme="majorBidi" w:cstheme="majorBidi"/>
          <w:i/>
          <w:iCs/>
          <w:sz w:val="24"/>
          <w:szCs w:val="24"/>
        </w:rPr>
        <w:t>Network Open</w:t>
      </w:r>
      <w:r w:rsidRPr="00715078">
        <w:rPr>
          <w:rFonts w:asciiTheme="majorBidi" w:hAnsiTheme="majorBidi" w:cstheme="majorBidi"/>
          <w:sz w:val="24"/>
          <w:szCs w:val="24"/>
        </w:rPr>
        <w:t>, Vol. 4, No. 5, e2110452.</w:t>
      </w:r>
    </w:p>
    <w:p w14:paraId="7F76F2C1" w14:textId="01BE99B1" w:rsidR="004F7653" w:rsidRPr="003D161C" w:rsidRDefault="004F7653" w:rsidP="00C333C6">
      <w:pPr>
        <w:spacing w:line="360" w:lineRule="auto"/>
        <w:ind w:left="720" w:hanging="720"/>
        <w:rPr>
          <w:rFonts w:asciiTheme="majorBidi" w:hAnsiTheme="majorBidi" w:cstheme="majorBidi"/>
          <w:sz w:val="24"/>
          <w:szCs w:val="24"/>
        </w:rPr>
      </w:pPr>
      <w:bookmarkStart w:id="3" w:name="_Hlk135567369"/>
      <w:r>
        <w:rPr>
          <w:rFonts w:asciiTheme="majorBidi" w:hAnsiTheme="majorBidi" w:cstheme="majorBidi"/>
          <w:sz w:val="24"/>
          <w:szCs w:val="24"/>
        </w:rPr>
        <w:t>Becker, Gary and Murphy, Kevin. 1988. “</w:t>
      </w:r>
      <w:r w:rsidR="003D161C" w:rsidRPr="003D161C">
        <w:rPr>
          <w:rFonts w:asciiTheme="majorBidi" w:hAnsiTheme="majorBidi" w:cstheme="majorBidi"/>
          <w:sz w:val="24"/>
          <w:szCs w:val="24"/>
        </w:rPr>
        <w:t>A theory of rational addiction</w:t>
      </w:r>
      <w:r>
        <w:rPr>
          <w:rFonts w:asciiTheme="majorBidi" w:hAnsiTheme="majorBidi" w:cstheme="majorBidi"/>
          <w:sz w:val="24"/>
          <w:szCs w:val="24"/>
        </w:rPr>
        <w:t>”</w:t>
      </w:r>
      <w:r w:rsidR="003D161C">
        <w:rPr>
          <w:rFonts w:asciiTheme="majorBidi" w:hAnsiTheme="majorBidi" w:cstheme="majorBidi"/>
          <w:sz w:val="24"/>
          <w:szCs w:val="24"/>
        </w:rPr>
        <w:t xml:space="preserve">, </w:t>
      </w:r>
      <w:r w:rsidR="003D161C">
        <w:rPr>
          <w:rFonts w:asciiTheme="majorBidi" w:hAnsiTheme="majorBidi" w:cstheme="majorBidi"/>
          <w:i/>
          <w:iCs/>
          <w:sz w:val="24"/>
          <w:szCs w:val="24"/>
        </w:rPr>
        <w:t>Journal of Political Economy</w:t>
      </w:r>
      <w:r w:rsidR="003D161C">
        <w:rPr>
          <w:rFonts w:asciiTheme="majorBidi" w:hAnsiTheme="majorBidi" w:cstheme="majorBidi"/>
          <w:sz w:val="24"/>
          <w:szCs w:val="24"/>
        </w:rPr>
        <w:t>, Vol. 96, No. 4, pp. 675-700.</w:t>
      </w:r>
    </w:p>
    <w:bookmarkEnd w:id="3"/>
    <w:p w14:paraId="6A94EFE9" w14:textId="2F021F49" w:rsidR="00C623D1" w:rsidRPr="00715078" w:rsidRDefault="00C623D1" w:rsidP="00C333C6">
      <w:pPr>
        <w:spacing w:line="360" w:lineRule="auto"/>
        <w:ind w:left="720" w:hanging="720"/>
        <w:rPr>
          <w:rFonts w:asciiTheme="majorBidi" w:hAnsiTheme="majorBidi" w:cstheme="majorBidi"/>
          <w:sz w:val="24"/>
          <w:szCs w:val="24"/>
        </w:rPr>
      </w:pPr>
      <w:r w:rsidRPr="00715078">
        <w:rPr>
          <w:rFonts w:asciiTheme="majorBidi" w:hAnsiTheme="majorBidi" w:cstheme="majorBidi"/>
          <w:sz w:val="24"/>
          <w:szCs w:val="24"/>
        </w:rPr>
        <w:t xml:space="preserve">Bertrand, Marianne, and Duflo, Esther, and Mullainathan, Sendhil. 2004. “How much should we trust differences-in-differences estimates?”, </w:t>
      </w:r>
      <w:r w:rsidRPr="00715078">
        <w:rPr>
          <w:rFonts w:asciiTheme="majorBidi" w:hAnsiTheme="majorBidi" w:cstheme="majorBidi"/>
          <w:i/>
          <w:iCs/>
          <w:sz w:val="24"/>
          <w:szCs w:val="24"/>
        </w:rPr>
        <w:t>The Quarterly Journal of Economics</w:t>
      </w:r>
      <w:r w:rsidRPr="00715078">
        <w:rPr>
          <w:rFonts w:asciiTheme="majorBidi" w:hAnsiTheme="majorBidi" w:cstheme="majorBidi"/>
          <w:sz w:val="24"/>
          <w:szCs w:val="24"/>
        </w:rPr>
        <w:t>, Vol. 119, No. 1, pp. 249-275.</w:t>
      </w:r>
    </w:p>
    <w:p w14:paraId="6EC4B467" w14:textId="77777777" w:rsidR="00C623D1" w:rsidRPr="00715078" w:rsidRDefault="00C623D1" w:rsidP="00C333C6">
      <w:pPr>
        <w:spacing w:line="360" w:lineRule="auto"/>
        <w:ind w:left="720" w:hanging="720"/>
        <w:rPr>
          <w:rFonts w:asciiTheme="majorBidi" w:hAnsiTheme="majorBidi" w:cstheme="majorBidi"/>
          <w:sz w:val="24"/>
          <w:szCs w:val="24"/>
        </w:rPr>
      </w:pPr>
      <w:r w:rsidRPr="00715078">
        <w:rPr>
          <w:rFonts w:asciiTheme="majorBidi" w:hAnsiTheme="majorBidi" w:cstheme="majorBidi"/>
          <w:sz w:val="24"/>
          <w:szCs w:val="24"/>
        </w:rPr>
        <w:t xml:space="preserve">Carpenter, Christopher and Dobkin, Carlos. 2011. “The Minimum Legal Drinking Age and Public Health”, </w:t>
      </w:r>
      <w:r w:rsidRPr="00715078">
        <w:rPr>
          <w:rFonts w:asciiTheme="majorBidi" w:hAnsiTheme="majorBidi" w:cstheme="majorBidi"/>
          <w:i/>
          <w:iCs/>
          <w:sz w:val="24"/>
          <w:szCs w:val="24"/>
        </w:rPr>
        <w:t>Journal of Economic Perspectives</w:t>
      </w:r>
      <w:r w:rsidRPr="00715078">
        <w:rPr>
          <w:rFonts w:asciiTheme="majorBidi" w:hAnsiTheme="majorBidi" w:cstheme="majorBidi"/>
          <w:sz w:val="24"/>
          <w:szCs w:val="24"/>
        </w:rPr>
        <w:t>, Vol. 25, No. 2, pp. 133-156.</w:t>
      </w:r>
    </w:p>
    <w:p w14:paraId="61DF58BC" w14:textId="20A72E77" w:rsidR="006559FC" w:rsidRDefault="006559FC" w:rsidP="00C333C6">
      <w:pPr>
        <w:spacing w:line="360" w:lineRule="auto"/>
        <w:ind w:left="720" w:hanging="720"/>
        <w:rPr>
          <w:rFonts w:asciiTheme="majorBidi" w:hAnsiTheme="majorBidi" w:cstheme="majorBidi"/>
          <w:sz w:val="24"/>
          <w:szCs w:val="24"/>
        </w:rPr>
      </w:pPr>
      <w:r w:rsidRPr="006559FC">
        <w:rPr>
          <w:rFonts w:asciiTheme="majorBidi" w:hAnsiTheme="majorBidi" w:cstheme="majorBidi"/>
          <w:sz w:val="24"/>
          <w:szCs w:val="24"/>
        </w:rPr>
        <w:t>Centers for Disease Control and Prevention</w:t>
      </w:r>
      <w:r>
        <w:rPr>
          <w:rFonts w:asciiTheme="majorBidi" w:hAnsiTheme="majorBidi" w:cstheme="majorBidi"/>
          <w:sz w:val="24"/>
          <w:szCs w:val="24"/>
        </w:rPr>
        <w:t>. 2015.</w:t>
      </w:r>
      <w:r w:rsidRPr="006559FC">
        <w:rPr>
          <w:rFonts w:asciiTheme="majorBidi" w:hAnsiTheme="majorBidi" w:cstheme="majorBidi"/>
          <w:sz w:val="24"/>
          <w:szCs w:val="24"/>
        </w:rPr>
        <w:t xml:space="preserve"> National Center for Chronic Disease Prevention and Health Promotion, Division of Population Health. BRFSS Prevalence &amp; Trends Data. accessed May 2</w:t>
      </w:r>
      <w:r w:rsidR="00907F34">
        <w:rPr>
          <w:rFonts w:asciiTheme="majorBidi" w:hAnsiTheme="majorBidi" w:cstheme="majorBidi"/>
          <w:sz w:val="24"/>
          <w:szCs w:val="24"/>
        </w:rPr>
        <w:t>0</w:t>
      </w:r>
      <w:r w:rsidRPr="006559FC">
        <w:rPr>
          <w:rFonts w:asciiTheme="majorBidi" w:hAnsiTheme="majorBidi" w:cstheme="majorBidi"/>
          <w:sz w:val="24"/>
          <w:szCs w:val="24"/>
        </w:rPr>
        <w:t>, 2023</w:t>
      </w:r>
      <w:r>
        <w:rPr>
          <w:rFonts w:asciiTheme="majorBidi" w:hAnsiTheme="majorBidi" w:cstheme="majorBidi"/>
          <w:sz w:val="24"/>
          <w:szCs w:val="24"/>
        </w:rPr>
        <w:t xml:space="preserve">. </w:t>
      </w:r>
      <w:r w:rsidRPr="006559FC">
        <w:rPr>
          <w:rFonts w:asciiTheme="majorBidi" w:hAnsiTheme="majorBidi" w:cstheme="majorBidi"/>
          <w:sz w:val="24"/>
          <w:szCs w:val="24"/>
        </w:rPr>
        <w:t>URL: https://www.cdc.gov/brfss/brfssprevalence/.</w:t>
      </w:r>
    </w:p>
    <w:p w14:paraId="5F12C8B8" w14:textId="3C960234" w:rsidR="00586CDD" w:rsidRPr="00586CDD" w:rsidRDefault="00586CDD" w:rsidP="00C333C6">
      <w:pPr>
        <w:spacing w:line="360" w:lineRule="auto"/>
        <w:ind w:left="720" w:hanging="720"/>
        <w:rPr>
          <w:rFonts w:asciiTheme="majorBidi" w:hAnsiTheme="majorBidi" w:cstheme="majorBidi"/>
          <w:sz w:val="24"/>
          <w:szCs w:val="24"/>
        </w:rPr>
      </w:pPr>
      <w:r w:rsidRPr="00586CDD">
        <w:rPr>
          <w:rFonts w:asciiTheme="majorBidi" w:hAnsiTheme="majorBidi" w:cstheme="majorBidi"/>
          <w:sz w:val="24"/>
          <w:szCs w:val="24"/>
        </w:rPr>
        <w:t xml:space="preserve">Degenhardt, Louisa, and Stockings, Emily and Patton, George and Hall, Wayne and Lynskey, Michael. 2016. “The increasing global health priority of substance use in young people”, </w:t>
      </w:r>
      <w:r w:rsidRPr="00586CDD">
        <w:rPr>
          <w:rFonts w:asciiTheme="majorBidi" w:hAnsiTheme="majorBidi" w:cstheme="majorBidi"/>
          <w:i/>
          <w:iCs/>
          <w:sz w:val="24"/>
          <w:szCs w:val="24"/>
        </w:rPr>
        <w:t>The Lancet Psychiatry</w:t>
      </w:r>
      <w:r w:rsidRPr="00586CDD">
        <w:rPr>
          <w:rFonts w:asciiTheme="majorBidi" w:hAnsiTheme="majorBidi" w:cstheme="majorBidi"/>
          <w:sz w:val="24"/>
          <w:szCs w:val="24"/>
        </w:rPr>
        <w:t>, Vol. 3, No. 3, pp. 251-264.</w:t>
      </w:r>
    </w:p>
    <w:p w14:paraId="0B49CFCD" w14:textId="34596E58" w:rsidR="00C623D1" w:rsidRPr="00715078" w:rsidRDefault="00C623D1" w:rsidP="00C333C6">
      <w:pPr>
        <w:spacing w:line="360" w:lineRule="auto"/>
        <w:ind w:left="720" w:hanging="720"/>
        <w:rPr>
          <w:rFonts w:asciiTheme="majorBidi" w:hAnsiTheme="majorBidi" w:cstheme="majorBidi"/>
          <w:sz w:val="24"/>
          <w:szCs w:val="24"/>
        </w:rPr>
      </w:pPr>
      <w:r w:rsidRPr="00715078">
        <w:rPr>
          <w:rFonts w:asciiTheme="majorBidi" w:hAnsiTheme="majorBidi" w:cstheme="majorBidi"/>
          <w:sz w:val="24"/>
          <w:szCs w:val="24"/>
        </w:rPr>
        <w:t xml:space="preserve">Delcher, Chris, and Wagenaar, Alexander, and Goldberger, Bruce, and Cook, Robert, and Maldonado-Molina, Mildred. 2015. “Abrupt decline in oxycodone-caused mortality after </w:t>
      </w:r>
      <w:r w:rsidRPr="00715078">
        <w:rPr>
          <w:rFonts w:asciiTheme="majorBidi" w:hAnsiTheme="majorBidi" w:cstheme="majorBidi"/>
          <w:sz w:val="24"/>
          <w:szCs w:val="24"/>
        </w:rPr>
        <w:lastRenderedPageBreak/>
        <w:t xml:space="preserve">implementation of Florida's Prescription Drug Monitoring Program”, </w:t>
      </w:r>
      <w:r w:rsidRPr="00715078">
        <w:rPr>
          <w:rFonts w:asciiTheme="majorBidi" w:hAnsiTheme="majorBidi" w:cstheme="majorBidi"/>
          <w:i/>
          <w:iCs/>
          <w:sz w:val="24"/>
          <w:szCs w:val="24"/>
        </w:rPr>
        <w:t>Drug and alcohol dependence</w:t>
      </w:r>
      <w:r w:rsidRPr="00715078">
        <w:rPr>
          <w:rFonts w:asciiTheme="majorBidi" w:hAnsiTheme="majorBidi" w:cstheme="majorBidi"/>
          <w:sz w:val="24"/>
          <w:szCs w:val="24"/>
        </w:rPr>
        <w:t xml:space="preserve">, </w:t>
      </w:r>
      <w:r w:rsidR="00C601B3" w:rsidRPr="00715078">
        <w:rPr>
          <w:rFonts w:asciiTheme="majorBidi" w:hAnsiTheme="majorBidi" w:cstheme="majorBidi"/>
          <w:sz w:val="24"/>
          <w:szCs w:val="24"/>
        </w:rPr>
        <w:t xml:space="preserve">Vol. </w:t>
      </w:r>
      <w:r w:rsidRPr="00715078">
        <w:rPr>
          <w:rFonts w:asciiTheme="majorBidi" w:hAnsiTheme="majorBidi" w:cstheme="majorBidi"/>
          <w:sz w:val="24"/>
          <w:szCs w:val="24"/>
        </w:rPr>
        <w:t>150,</w:t>
      </w:r>
      <w:r w:rsidR="00C601B3" w:rsidRPr="00715078">
        <w:rPr>
          <w:rFonts w:asciiTheme="majorBidi" w:hAnsiTheme="majorBidi" w:cstheme="majorBidi"/>
          <w:sz w:val="24"/>
          <w:szCs w:val="24"/>
        </w:rPr>
        <w:t xml:space="preserve"> pp.</w:t>
      </w:r>
      <w:r w:rsidRPr="00715078">
        <w:rPr>
          <w:rFonts w:asciiTheme="majorBidi" w:hAnsiTheme="majorBidi" w:cstheme="majorBidi"/>
          <w:sz w:val="24"/>
          <w:szCs w:val="24"/>
        </w:rPr>
        <w:t xml:space="preserve"> 63-68.</w:t>
      </w:r>
    </w:p>
    <w:p w14:paraId="29B5B308" w14:textId="77777777" w:rsidR="00C623D1" w:rsidRPr="00715078" w:rsidRDefault="00C623D1" w:rsidP="00C333C6">
      <w:pPr>
        <w:spacing w:line="360" w:lineRule="auto"/>
        <w:ind w:left="720" w:hanging="720"/>
        <w:rPr>
          <w:rFonts w:asciiTheme="majorBidi" w:hAnsiTheme="majorBidi" w:cstheme="majorBidi"/>
          <w:sz w:val="24"/>
          <w:szCs w:val="24"/>
        </w:rPr>
      </w:pPr>
      <w:r w:rsidRPr="00715078">
        <w:rPr>
          <w:rFonts w:asciiTheme="majorBidi" w:hAnsiTheme="majorBidi" w:cstheme="majorBidi"/>
          <w:sz w:val="24"/>
          <w:szCs w:val="24"/>
          <w:lang w:val="pt-BR"/>
        </w:rPr>
        <w:t xml:space="preserve">Félix, Sonia and Portugal, Pedro and Tavares, Ana Sofia. </w:t>
      </w:r>
      <w:r w:rsidRPr="00715078">
        <w:rPr>
          <w:rFonts w:asciiTheme="majorBidi" w:hAnsiTheme="majorBidi" w:cstheme="majorBidi"/>
          <w:sz w:val="24"/>
          <w:szCs w:val="24"/>
        </w:rPr>
        <w:t xml:space="preserve">2017. “Going after the addiction, not the addicted: The impact of drug decriminalization in Portugal.”, </w:t>
      </w:r>
      <w:r w:rsidRPr="00715078">
        <w:rPr>
          <w:rFonts w:asciiTheme="majorBidi" w:hAnsiTheme="majorBidi" w:cstheme="majorBidi"/>
          <w:i/>
          <w:iCs/>
          <w:sz w:val="24"/>
          <w:szCs w:val="24"/>
        </w:rPr>
        <w:t>IZA Discussion Papers</w:t>
      </w:r>
      <w:r w:rsidRPr="00715078">
        <w:rPr>
          <w:rFonts w:asciiTheme="majorBidi" w:hAnsiTheme="majorBidi" w:cstheme="majorBidi"/>
          <w:sz w:val="24"/>
          <w:szCs w:val="24"/>
        </w:rPr>
        <w:t>, No. 10895.</w:t>
      </w:r>
    </w:p>
    <w:p w14:paraId="641444EA" w14:textId="32115C60" w:rsidR="00770578" w:rsidRPr="00715078" w:rsidRDefault="00770578" w:rsidP="00C333C6">
      <w:pPr>
        <w:spacing w:line="360" w:lineRule="auto"/>
        <w:ind w:left="720" w:hanging="720"/>
        <w:rPr>
          <w:rFonts w:asciiTheme="majorBidi" w:hAnsiTheme="majorBidi" w:cstheme="majorBidi"/>
          <w:sz w:val="24"/>
          <w:szCs w:val="24"/>
        </w:rPr>
      </w:pPr>
      <w:r w:rsidRPr="00715078">
        <w:rPr>
          <w:rFonts w:asciiTheme="majorBidi" w:hAnsiTheme="majorBidi" w:cstheme="majorBidi"/>
          <w:sz w:val="24"/>
          <w:szCs w:val="24"/>
        </w:rPr>
        <w:t xml:space="preserve">Galea, Sandro and Nandi, Arijt and Vlahov, David. 2004. “The social epidemiology of substance use”, </w:t>
      </w:r>
      <w:r w:rsidRPr="00715078">
        <w:rPr>
          <w:rFonts w:asciiTheme="majorBidi" w:hAnsiTheme="majorBidi" w:cstheme="majorBidi"/>
          <w:i/>
          <w:iCs/>
          <w:sz w:val="24"/>
          <w:szCs w:val="24"/>
        </w:rPr>
        <w:t>Epidemiologic reviews</w:t>
      </w:r>
      <w:r w:rsidRPr="00715078">
        <w:rPr>
          <w:rFonts w:asciiTheme="majorBidi" w:hAnsiTheme="majorBidi" w:cstheme="majorBidi"/>
          <w:sz w:val="24"/>
          <w:szCs w:val="24"/>
        </w:rPr>
        <w:t>, Vol. 26, No. 1, pp. 36-52.</w:t>
      </w:r>
    </w:p>
    <w:p w14:paraId="3AA1FF4A" w14:textId="77777777" w:rsidR="00C623D1" w:rsidRPr="00715078" w:rsidRDefault="00C623D1" w:rsidP="00C333C6">
      <w:pPr>
        <w:spacing w:line="360" w:lineRule="auto"/>
        <w:ind w:left="720" w:hanging="720"/>
        <w:rPr>
          <w:rFonts w:asciiTheme="majorBidi" w:hAnsiTheme="majorBidi" w:cstheme="majorBidi"/>
          <w:sz w:val="24"/>
          <w:szCs w:val="24"/>
        </w:rPr>
      </w:pPr>
      <w:r w:rsidRPr="00715078">
        <w:rPr>
          <w:rFonts w:asciiTheme="majorBidi" w:hAnsiTheme="majorBidi" w:cstheme="majorBidi"/>
          <w:sz w:val="24"/>
          <w:szCs w:val="24"/>
        </w:rPr>
        <w:t xml:space="preserve">Greenwald, Glenn. 2009. “Drug Decriminalization in Portugal: Lessons for Creating Fair and Successful Drug Policies”, </w:t>
      </w:r>
      <w:r w:rsidRPr="00715078">
        <w:rPr>
          <w:rFonts w:asciiTheme="majorBidi" w:hAnsiTheme="majorBidi" w:cstheme="majorBidi"/>
          <w:i/>
          <w:iCs/>
          <w:sz w:val="24"/>
          <w:szCs w:val="24"/>
        </w:rPr>
        <w:t>Cato Institute Whitepaper Series.</w:t>
      </w:r>
    </w:p>
    <w:p w14:paraId="73CB9B5D" w14:textId="77777777" w:rsidR="00C623D1" w:rsidRPr="00715078" w:rsidRDefault="00C623D1" w:rsidP="00C333C6">
      <w:pPr>
        <w:spacing w:line="360" w:lineRule="auto"/>
        <w:ind w:left="720" w:hanging="720"/>
        <w:rPr>
          <w:rFonts w:asciiTheme="majorBidi" w:hAnsiTheme="majorBidi" w:cstheme="majorBidi"/>
          <w:sz w:val="24"/>
          <w:szCs w:val="24"/>
        </w:rPr>
      </w:pPr>
      <w:r w:rsidRPr="00715078">
        <w:rPr>
          <w:rFonts w:asciiTheme="majorBidi" w:hAnsiTheme="majorBidi" w:cstheme="majorBidi"/>
          <w:sz w:val="24"/>
          <w:szCs w:val="24"/>
        </w:rPr>
        <w:t xml:space="preserve">Jarlais, Don, and Nugent, Ann, and Solberg, Alisa, and Feelemyer, Jonathan, and Mermin, Jonathan, and Holtzman, Deborah. 2015. “Syringe service programs for persons who inject drugs in urban, suburban, and rural areas—United States, 2013”, </w:t>
      </w:r>
      <w:r w:rsidRPr="00715078">
        <w:rPr>
          <w:rFonts w:asciiTheme="majorBidi" w:hAnsiTheme="majorBidi" w:cstheme="majorBidi"/>
          <w:i/>
          <w:iCs/>
          <w:sz w:val="24"/>
          <w:szCs w:val="24"/>
        </w:rPr>
        <w:t>Morbidity and mortality weekly report,</w:t>
      </w:r>
      <w:r w:rsidRPr="00715078">
        <w:rPr>
          <w:rFonts w:asciiTheme="majorBidi" w:hAnsiTheme="majorBidi" w:cstheme="majorBidi"/>
          <w:sz w:val="24"/>
          <w:szCs w:val="24"/>
        </w:rPr>
        <w:t xml:space="preserve"> Vol. 64, No. 48, pp.1337-1341.</w:t>
      </w:r>
    </w:p>
    <w:p w14:paraId="651424B0" w14:textId="77777777" w:rsidR="00C623D1" w:rsidRPr="00715078" w:rsidRDefault="00C623D1" w:rsidP="00C333C6">
      <w:pPr>
        <w:spacing w:line="360" w:lineRule="auto"/>
        <w:ind w:left="720" w:hanging="720"/>
        <w:rPr>
          <w:rFonts w:asciiTheme="majorBidi" w:hAnsiTheme="majorBidi" w:cstheme="majorBidi"/>
          <w:sz w:val="24"/>
          <w:szCs w:val="24"/>
        </w:rPr>
      </w:pPr>
      <w:r w:rsidRPr="00715078">
        <w:rPr>
          <w:rFonts w:asciiTheme="majorBidi" w:hAnsiTheme="majorBidi" w:cstheme="majorBidi"/>
          <w:sz w:val="24"/>
          <w:szCs w:val="24"/>
        </w:rPr>
        <w:t xml:space="preserve">Kimmel, Simeon, and Gaeta, Jessie, and Hadland, Scott, and Hallett, Eliza, and Marshall, Brandon. 2021. “Principles of Harm Reduction for Young People Who Use Drugs”, </w:t>
      </w:r>
      <w:r w:rsidRPr="00715078">
        <w:rPr>
          <w:rFonts w:asciiTheme="majorBidi" w:hAnsiTheme="majorBidi" w:cstheme="majorBidi"/>
          <w:i/>
          <w:iCs/>
          <w:sz w:val="24"/>
          <w:szCs w:val="24"/>
        </w:rPr>
        <w:t>Pediatrics</w:t>
      </w:r>
      <w:r w:rsidRPr="00715078">
        <w:rPr>
          <w:rFonts w:asciiTheme="majorBidi" w:hAnsiTheme="majorBidi" w:cstheme="majorBidi"/>
          <w:sz w:val="24"/>
          <w:szCs w:val="24"/>
        </w:rPr>
        <w:t xml:space="preserve">, Vol. 147, Suppl. 2, pp. S240–S248. </w:t>
      </w:r>
    </w:p>
    <w:p w14:paraId="50D04EFA" w14:textId="10C3459B" w:rsidR="00C623D1" w:rsidRPr="00715078" w:rsidRDefault="00C623D1" w:rsidP="00C333C6">
      <w:pPr>
        <w:spacing w:line="360" w:lineRule="auto"/>
        <w:ind w:left="720" w:hanging="720"/>
        <w:rPr>
          <w:rFonts w:asciiTheme="majorBidi" w:hAnsiTheme="majorBidi" w:cstheme="majorBidi"/>
          <w:sz w:val="24"/>
          <w:szCs w:val="24"/>
        </w:rPr>
      </w:pPr>
      <w:r w:rsidRPr="00715078">
        <w:rPr>
          <w:rFonts w:asciiTheme="majorBidi" w:hAnsiTheme="majorBidi" w:cstheme="majorBidi"/>
          <w:sz w:val="24"/>
          <w:szCs w:val="24"/>
        </w:rPr>
        <w:t>Mattick, R</w:t>
      </w:r>
      <w:r w:rsidR="009C4D8A" w:rsidRPr="00715078">
        <w:rPr>
          <w:rFonts w:asciiTheme="majorBidi" w:hAnsiTheme="majorBidi" w:cstheme="majorBidi"/>
          <w:sz w:val="24"/>
          <w:szCs w:val="24"/>
        </w:rPr>
        <w:t>ichard and</w:t>
      </w:r>
      <w:r w:rsidRPr="00715078">
        <w:rPr>
          <w:rFonts w:asciiTheme="majorBidi" w:hAnsiTheme="majorBidi" w:cstheme="majorBidi"/>
          <w:sz w:val="24"/>
          <w:szCs w:val="24"/>
        </w:rPr>
        <w:t xml:space="preserve"> Breen, C</w:t>
      </w:r>
      <w:r w:rsidR="009C4D8A" w:rsidRPr="00715078">
        <w:rPr>
          <w:rFonts w:asciiTheme="majorBidi" w:hAnsiTheme="majorBidi" w:cstheme="majorBidi"/>
          <w:sz w:val="24"/>
          <w:szCs w:val="24"/>
        </w:rPr>
        <w:t>ourtney and</w:t>
      </w:r>
      <w:r w:rsidRPr="00715078">
        <w:rPr>
          <w:rFonts w:asciiTheme="majorBidi" w:hAnsiTheme="majorBidi" w:cstheme="majorBidi"/>
          <w:sz w:val="24"/>
          <w:szCs w:val="24"/>
        </w:rPr>
        <w:t xml:space="preserve"> Kimber, J</w:t>
      </w:r>
      <w:r w:rsidR="009C4D8A" w:rsidRPr="00715078">
        <w:rPr>
          <w:rFonts w:asciiTheme="majorBidi" w:hAnsiTheme="majorBidi" w:cstheme="majorBidi"/>
          <w:sz w:val="24"/>
          <w:szCs w:val="24"/>
        </w:rPr>
        <w:t>o</w:t>
      </w:r>
      <w:r w:rsidRPr="00715078">
        <w:rPr>
          <w:rFonts w:asciiTheme="majorBidi" w:hAnsiTheme="majorBidi" w:cstheme="majorBidi"/>
          <w:sz w:val="24"/>
          <w:szCs w:val="24"/>
        </w:rPr>
        <w:t xml:space="preserve"> </w:t>
      </w:r>
      <w:r w:rsidR="00E53145" w:rsidRPr="00715078">
        <w:rPr>
          <w:rFonts w:asciiTheme="majorBidi" w:hAnsiTheme="majorBidi" w:cstheme="majorBidi"/>
          <w:sz w:val="24"/>
          <w:szCs w:val="24"/>
        </w:rPr>
        <w:t>and</w:t>
      </w:r>
      <w:r w:rsidRPr="00715078">
        <w:rPr>
          <w:rFonts w:asciiTheme="majorBidi" w:hAnsiTheme="majorBidi" w:cstheme="majorBidi"/>
          <w:sz w:val="24"/>
          <w:szCs w:val="24"/>
        </w:rPr>
        <w:t xml:space="preserve"> Davoli, M</w:t>
      </w:r>
      <w:r w:rsidR="009C4D8A" w:rsidRPr="00715078">
        <w:rPr>
          <w:rFonts w:asciiTheme="majorBidi" w:hAnsiTheme="majorBidi" w:cstheme="majorBidi"/>
          <w:sz w:val="24"/>
          <w:szCs w:val="24"/>
        </w:rPr>
        <w:t>arina</w:t>
      </w:r>
      <w:r w:rsidRPr="00715078">
        <w:rPr>
          <w:rFonts w:asciiTheme="majorBidi" w:hAnsiTheme="majorBidi" w:cstheme="majorBidi"/>
          <w:sz w:val="24"/>
          <w:szCs w:val="24"/>
        </w:rPr>
        <w:t xml:space="preserve">. 2009. “Methadone maintenance therapy versus no opioid replacement therapy for opioid dependence”, </w:t>
      </w:r>
      <w:r w:rsidRPr="00715078">
        <w:rPr>
          <w:rFonts w:asciiTheme="majorBidi" w:hAnsiTheme="majorBidi" w:cstheme="majorBidi"/>
          <w:i/>
          <w:iCs/>
          <w:sz w:val="24"/>
          <w:szCs w:val="24"/>
        </w:rPr>
        <w:t xml:space="preserve">Cochrane </w:t>
      </w:r>
      <w:r w:rsidR="009C4D8A" w:rsidRPr="00715078">
        <w:rPr>
          <w:rFonts w:asciiTheme="majorBidi" w:hAnsiTheme="majorBidi" w:cstheme="majorBidi"/>
          <w:i/>
          <w:iCs/>
          <w:sz w:val="24"/>
          <w:szCs w:val="24"/>
        </w:rPr>
        <w:t>D</w:t>
      </w:r>
      <w:r w:rsidRPr="00715078">
        <w:rPr>
          <w:rFonts w:asciiTheme="majorBidi" w:hAnsiTheme="majorBidi" w:cstheme="majorBidi"/>
          <w:i/>
          <w:iCs/>
          <w:sz w:val="24"/>
          <w:szCs w:val="24"/>
        </w:rPr>
        <w:t xml:space="preserve">atabase of </w:t>
      </w:r>
      <w:r w:rsidR="009C4D8A" w:rsidRPr="00715078">
        <w:rPr>
          <w:rFonts w:asciiTheme="majorBidi" w:hAnsiTheme="majorBidi" w:cstheme="majorBidi"/>
          <w:i/>
          <w:iCs/>
          <w:sz w:val="24"/>
          <w:szCs w:val="24"/>
        </w:rPr>
        <w:t>S</w:t>
      </w:r>
      <w:r w:rsidRPr="00715078">
        <w:rPr>
          <w:rFonts w:asciiTheme="majorBidi" w:hAnsiTheme="majorBidi" w:cstheme="majorBidi"/>
          <w:i/>
          <w:iCs/>
          <w:sz w:val="24"/>
          <w:szCs w:val="24"/>
        </w:rPr>
        <w:t>ystematic</w:t>
      </w:r>
      <w:r w:rsidR="009C4D8A" w:rsidRPr="00715078">
        <w:rPr>
          <w:rFonts w:asciiTheme="majorBidi" w:hAnsiTheme="majorBidi" w:cstheme="majorBidi"/>
          <w:i/>
          <w:iCs/>
          <w:sz w:val="24"/>
          <w:szCs w:val="24"/>
        </w:rPr>
        <w:t xml:space="preserve"> R</w:t>
      </w:r>
      <w:r w:rsidRPr="00715078">
        <w:rPr>
          <w:rFonts w:asciiTheme="majorBidi" w:hAnsiTheme="majorBidi" w:cstheme="majorBidi"/>
          <w:i/>
          <w:iCs/>
          <w:sz w:val="24"/>
          <w:szCs w:val="24"/>
        </w:rPr>
        <w:t>eviews</w:t>
      </w:r>
      <w:r w:rsidRPr="00715078">
        <w:rPr>
          <w:rFonts w:asciiTheme="majorBidi" w:hAnsiTheme="majorBidi" w:cstheme="majorBidi"/>
          <w:sz w:val="24"/>
          <w:szCs w:val="24"/>
        </w:rPr>
        <w:t>, Vol. 3.</w:t>
      </w:r>
    </w:p>
    <w:p w14:paraId="62729AE5" w14:textId="77777777" w:rsidR="00C623D1" w:rsidRPr="00715078" w:rsidRDefault="00C623D1" w:rsidP="00C333C6">
      <w:pPr>
        <w:spacing w:line="360" w:lineRule="auto"/>
        <w:ind w:left="720" w:hanging="720"/>
        <w:rPr>
          <w:rFonts w:asciiTheme="majorBidi" w:hAnsiTheme="majorBidi" w:cstheme="majorBidi"/>
          <w:sz w:val="24"/>
          <w:szCs w:val="24"/>
        </w:rPr>
      </w:pPr>
      <w:r w:rsidRPr="00715078">
        <w:rPr>
          <w:rFonts w:asciiTheme="majorBidi" w:hAnsiTheme="majorBidi" w:cstheme="majorBidi"/>
          <w:sz w:val="24"/>
          <w:szCs w:val="24"/>
        </w:rPr>
        <w:t xml:space="preserve">Miech, Richard, and Johnston, Lloyd, and O’Malley, Patrick, and Bachman, Jerald, and Schulenberg, John, and Patrick, Megan. 2015. “Trends in use of marijuana and attitudes toward marijuana among youth before and after decriminalization:  The case of California 2007–2013”, </w:t>
      </w:r>
      <w:r w:rsidRPr="00715078">
        <w:rPr>
          <w:rFonts w:asciiTheme="majorBidi" w:hAnsiTheme="majorBidi" w:cstheme="majorBidi"/>
          <w:i/>
          <w:iCs/>
          <w:sz w:val="24"/>
          <w:szCs w:val="24"/>
        </w:rPr>
        <w:t>International Journal of Drug Policy</w:t>
      </w:r>
      <w:r w:rsidRPr="00715078">
        <w:rPr>
          <w:rFonts w:asciiTheme="majorBidi" w:hAnsiTheme="majorBidi" w:cstheme="majorBidi"/>
          <w:sz w:val="24"/>
          <w:szCs w:val="24"/>
        </w:rPr>
        <w:t>, Vol. 26, No. 4, pp. 336-344.</w:t>
      </w:r>
    </w:p>
    <w:p w14:paraId="61AD275E" w14:textId="77777777" w:rsidR="00C623D1" w:rsidRPr="00715078" w:rsidRDefault="00C623D1" w:rsidP="00C333C6">
      <w:pPr>
        <w:spacing w:line="360" w:lineRule="auto"/>
        <w:ind w:left="720" w:hanging="720"/>
        <w:rPr>
          <w:rFonts w:asciiTheme="majorBidi" w:hAnsiTheme="majorBidi" w:cstheme="majorBidi"/>
          <w:sz w:val="24"/>
          <w:szCs w:val="24"/>
        </w:rPr>
      </w:pPr>
      <w:r w:rsidRPr="00715078">
        <w:rPr>
          <w:rFonts w:asciiTheme="majorBidi" w:hAnsiTheme="majorBidi" w:cstheme="majorBidi"/>
          <w:sz w:val="24"/>
          <w:szCs w:val="24"/>
        </w:rPr>
        <w:t xml:space="preserve">NCDAS. “Drug overdose death statistics [2023]: Drug Overdose Death Rates”. (2023, January 1). Retrieved March 22, 2023, from https://drugabusestatistics.org/drug-overdose-deaths/ </w:t>
      </w:r>
    </w:p>
    <w:p w14:paraId="4ACC3BBB" w14:textId="77777777" w:rsidR="00C623D1" w:rsidRPr="00715078" w:rsidRDefault="00C623D1" w:rsidP="00C333C6">
      <w:pPr>
        <w:spacing w:line="360" w:lineRule="auto"/>
        <w:ind w:left="720" w:hanging="720"/>
        <w:rPr>
          <w:rFonts w:asciiTheme="majorBidi" w:hAnsiTheme="majorBidi" w:cstheme="majorBidi"/>
          <w:sz w:val="24"/>
          <w:szCs w:val="24"/>
        </w:rPr>
      </w:pPr>
      <w:r w:rsidRPr="00715078">
        <w:rPr>
          <w:rFonts w:asciiTheme="majorBidi" w:hAnsiTheme="majorBidi" w:cstheme="majorBidi"/>
          <w:sz w:val="24"/>
          <w:szCs w:val="24"/>
        </w:rPr>
        <w:t xml:space="preserve">Netherland, Jules, et al. 2022. “Principles and Metrics for Evaluating Oregon’s Innovative Drug Decriminalization Measure”, </w:t>
      </w:r>
      <w:r w:rsidRPr="00715078">
        <w:rPr>
          <w:rFonts w:asciiTheme="majorBidi" w:hAnsiTheme="majorBidi" w:cstheme="majorBidi"/>
          <w:i/>
          <w:iCs/>
          <w:sz w:val="24"/>
          <w:szCs w:val="24"/>
        </w:rPr>
        <w:t xml:space="preserve">Journal of Urban Health, </w:t>
      </w:r>
      <w:r w:rsidRPr="00715078">
        <w:rPr>
          <w:rFonts w:asciiTheme="majorBidi" w:hAnsiTheme="majorBidi" w:cstheme="majorBidi"/>
          <w:sz w:val="24"/>
          <w:szCs w:val="24"/>
        </w:rPr>
        <w:t>Vol. 99, pp. 328-331.</w:t>
      </w:r>
    </w:p>
    <w:p w14:paraId="181C5512" w14:textId="77777777" w:rsidR="00C623D1" w:rsidRPr="00715078" w:rsidRDefault="00C623D1" w:rsidP="00C333C6">
      <w:pPr>
        <w:spacing w:line="360" w:lineRule="auto"/>
        <w:ind w:left="720" w:hanging="720"/>
        <w:rPr>
          <w:rFonts w:asciiTheme="majorBidi" w:hAnsiTheme="majorBidi" w:cstheme="majorBidi"/>
          <w:sz w:val="24"/>
          <w:szCs w:val="24"/>
        </w:rPr>
      </w:pPr>
      <w:r w:rsidRPr="00715078">
        <w:rPr>
          <w:rFonts w:asciiTheme="majorBidi" w:hAnsiTheme="majorBidi" w:cstheme="majorBidi"/>
          <w:sz w:val="24"/>
          <w:szCs w:val="24"/>
        </w:rPr>
        <w:lastRenderedPageBreak/>
        <w:t>Oregon Health Authority. “Drug Addiction Treatment and Recovery act (Measure 110)”, Behavioral Health Services: State of Oregon. (n.d.). Retrieved March 22, 2023, URL https://www.oregon.gov/OHA/HSD/AMH/Pages/Measure110.aspx</w:t>
      </w:r>
    </w:p>
    <w:p w14:paraId="11F848BE" w14:textId="77777777" w:rsidR="00C623D1" w:rsidRPr="00715078" w:rsidRDefault="00C623D1" w:rsidP="00C333C6">
      <w:pPr>
        <w:spacing w:line="360" w:lineRule="auto"/>
        <w:ind w:left="720" w:hanging="720"/>
        <w:rPr>
          <w:rFonts w:asciiTheme="majorBidi" w:hAnsiTheme="majorBidi" w:cstheme="majorBidi"/>
          <w:sz w:val="24"/>
          <w:szCs w:val="24"/>
        </w:rPr>
      </w:pPr>
      <w:r w:rsidRPr="00715078">
        <w:rPr>
          <w:rFonts w:asciiTheme="majorBidi" w:hAnsiTheme="majorBidi" w:cstheme="majorBidi"/>
          <w:sz w:val="24"/>
          <w:szCs w:val="24"/>
        </w:rPr>
        <w:t>Oregon Legislative Policy and Research Office. 2020. “Measure 110 (2020) background brief”, URL https://www.oregonlegislature.gov/lpro/Publications/Background-Brief-Measure-110-(2020).pdf</w:t>
      </w:r>
    </w:p>
    <w:p w14:paraId="7D0B5326" w14:textId="77777777" w:rsidR="00C623D1" w:rsidRPr="00715078" w:rsidRDefault="00C623D1" w:rsidP="00C333C6">
      <w:pPr>
        <w:spacing w:line="360" w:lineRule="auto"/>
        <w:ind w:left="720" w:hanging="720"/>
        <w:rPr>
          <w:rFonts w:asciiTheme="majorBidi" w:hAnsiTheme="majorBidi" w:cstheme="majorBidi"/>
          <w:sz w:val="24"/>
          <w:szCs w:val="24"/>
        </w:rPr>
      </w:pPr>
      <w:r w:rsidRPr="00715078">
        <w:rPr>
          <w:rFonts w:asciiTheme="majorBidi" w:hAnsiTheme="majorBidi" w:cstheme="majorBidi"/>
          <w:sz w:val="24"/>
          <w:szCs w:val="24"/>
        </w:rPr>
        <w:t>Oregon Secretary of State. 2020. “Drug Addiction Treatment and Recovery Act” URL https://sos.oregon.gov/admin/Documents/irr/2020/044text.pdf</w:t>
      </w:r>
    </w:p>
    <w:p w14:paraId="3681C680" w14:textId="77777777" w:rsidR="00C623D1" w:rsidRPr="00715078" w:rsidRDefault="00C623D1" w:rsidP="00C333C6">
      <w:pPr>
        <w:spacing w:line="360" w:lineRule="auto"/>
        <w:ind w:left="720" w:hanging="720"/>
        <w:rPr>
          <w:rFonts w:asciiTheme="majorBidi" w:hAnsiTheme="majorBidi" w:cstheme="majorBidi"/>
          <w:sz w:val="24"/>
          <w:szCs w:val="24"/>
        </w:rPr>
      </w:pPr>
      <w:r w:rsidRPr="00715078">
        <w:rPr>
          <w:rFonts w:asciiTheme="majorBidi" w:hAnsiTheme="majorBidi" w:cstheme="majorBidi"/>
          <w:sz w:val="24"/>
          <w:szCs w:val="24"/>
        </w:rPr>
        <w:t xml:space="preserve">Packham, Analisa. 2022. “Syringe Exchange Programs and Harm Reduction: New Evidence in the Wake of the Opioid Epidemic”, </w:t>
      </w:r>
      <w:r w:rsidRPr="00715078">
        <w:rPr>
          <w:rFonts w:asciiTheme="majorBidi" w:hAnsiTheme="majorBidi" w:cstheme="majorBidi"/>
          <w:i/>
          <w:iCs/>
          <w:sz w:val="24"/>
          <w:szCs w:val="24"/>
        </w:rPr>
        <w:t>Journal of Public Economics</w:t>
      </w:r>
      <w:r w:rsidRPr="00715078">
        <w:rPr>
          <w:rFonts w:asciiTheme="majorBidi" w:hAnsiTheme="majorBidi" w:cstheme="majorBidi"/>
          <w:sz w:val="24"/>
          <w:szCs w:val="24"/>
        </w:rPr>
        <w:t>, Vol. 215.</w:t>
      </w:r>
    </w:p>
    <w:p w14:paraId="2BA8F358" w14:textId="77777777" w:rsidR="00C623D1" w:rsidRPr="00715078" w:rsidRDefault="00C623D1" w:rsidP="00C333C6">
      <w:pPr>
        <w:spacing w:line="360" w:lineRule="auto"/>
        <w:ind w:left="720" w:hanging="720"/>
        <w:rPr>
          <w:rFonts w:asciiTheme="majorBidi" w:hAnsiTheme="majorBidi" w:cstheme="majorBidi"/>
          <w:sz w:val="24"/>
          <w:szCs w:val="24"/>
        </w:rPr>
      </w:pPr>
      <w:r w:rsidRPr="00715078">
        <w:rPr>
          <w:rFonts w:asciiTheme="majorBidi" w:hAnsiTheme="majorBidi" w:cstheme="majorBidi"/>
          <w:sz w:val="24"/>
          <w:szCs w:val="24"/>
        </w:rPr>
        <w:t xml:space="preserve">Pamplin, John, and Rouhani, Saba, and Davis, Corey, and King, Carla, and Townsend, Tarlise. 2023. “Persistent Criminalization and Structural Racism in US Drug Policy: The Case of Overdose Good Samaritan Laws”, </w:t>
      </w:r>
      <w:r w:rsidRPr="00715078">
        <w:rPr>
          <w:rFonts w:asciiTheme="majorBidi" w:hAnsiTheme="majorBidi" w:cstheme="majorBidi"/>
          <w:i/>
          <w:iCs/>
          <w:sz w:val="24"/>
          <w:szCs w:val="24"/>
        </w:rPr>
        <w:t>American journal of public health</w:t>
      </w:r>
      <w:r w:rsidRPr="00715078">
        <w:rPr>
          <w:rFonts w:asciiTheme="majorBidi" w:hAnsiTheme="majorBidi" w:cstheme="majorBidi"/>
          <w:sz w:val="24"/>
          <w:szCs w:val="24"/>
        </w:rPr>
        <w:t>, Vol. 113, No. S1, pp. S43-S48.</w:t>
      </w:r>
    </w:p>
    <w:p w14:paraId="0B8C3E74" w14:textId="77777777" w:rsidR="00C623D1" w:rsidRPr="00715078" w:rsidRDefault="00C623D1" w:rsidP="00C333C6">
      <w:pPr>
        <w:spacing w:line="360" w:lineRule="auto"/>
        <w:ind w:left="720" w:hanging="720"/>
        <w:rPr>
          <w:rFonts w:asciiTheme="majorBidi" w:hAnsiTheme="majorBidi" w:cstheme="majorBidi"/>
          <w:sz w:val="24"/>
          <w:szCs w:val="24"/>
        </w:rPr>
      </w:pPr>
      <w:r w:rsidRPr="00715078">
        <w:rPr>
          <w:rFonts w:asciiTheme="majorBidi" w:hAnsiTheme="majorBidi" w:cstheme="majorBidi"/>
          <w:sz w:val="24"/>
          <w:szCs w:val="24"/>
        </w:rPr>
        <w:t xml:space="preserve">Patrick, Stephen, and Fry, Carrie, and Jones, Timothy, and Buntin, Melinda. 2016. “Implementation of prescription drug monitoring programs associated with reductions in opioid-related death rates”, </w:t>
      </w:r>
      <w:r w:rsidRPr="00715078">
        <w:rPr>
          <w:rFonts w:asciiTheme="majorBidi" w:hAnsiTheme="majorBidi" w:cstheme="majorBidi"/>
          <w:i/>
          <w:iCs/>
          <w:sz w:val="24"/>
          <w:szCs w:val="24"/>
        </w:rPr>
        <w:t>Health Affairs</w:t>
      </w:r>
      <w:r w:rsidRPr="00715078">
        <w:rPr>
          <w:rFonts w:asciiTheme="majorBidi" w:hAnsiTheme="majorBidi" w:cstheme="majorBidi"/>
          <w:sz w:val="24"/>
          <w:szCs w:val="24"/>
        </w:rPr>
        <w:t>, Vol. 35, No. 7, pp. 1324-1332.</w:t>
      </w:r>
    </w:p>
    <w:p w14:paraId="33E7B63D" w14:textId="46011BD7" w:rsidR="00A344C2" w:rsidRDefault="00A344C2" w:rsidP="00C333C6">
      <w:pPr>
        <w:spacing w:line="360" w:lineRule="auto"/>
        <w:ind w:left="720" w:hanging="720"/>
        <w:rPr>
          <w:rFonts w:asciiTheme="majorBidi" w:hAnsiTheme="majorBidi" w:cstheme="majorBidi"/>
          <w:sz w:val="24"/>
          <w:szCs w:val="24"/>
        </w:rPr>
      </w:pPr>
      <w:r>
        <w:rPr>
          <w:rFonts w:asciiTheme="majorBidi" w:hAnsiTheme="majorBidi" w:cstheme="majorBidi"/>
          <w:sz w:val="24"/>
          <w:szCs w:val="24"/>
        </w:rPr>
        <w:t>Prescription Drug Abuse Policy System. 2023. accessed 20 May 2023.</w:t>
      </w:r>
      <w:r w:rsidRPr="00A344C2">
        <w:rPr>
          <w:rFonts w:asciiTheme="majorBidi" w:hAnsiTheme="majorBidi" w:cstheme="majorBidi"/>
          <w:sz w:val="24"/>
          <w:szCs w:val="24"/>
        </w:rPr>
        <w:t xml:space="preserve"> </w:t>
      </w:r>
      <w:r>
        <w:rPr>
          <w:rFonts w:asciiTheme="majorBidi" w:hAnsiTheme="majorBidi" w:cstheme="majorBidi"/>
          <w:sz w:val="24"/>
          <w:szCs w:val="24"/>
        </w:rPr>
        <w:t xml:space="preserve">URL: </w:t>
      </w:r>
      <w:r w:rsidRPr="00A344C2">
        <w:rPr>
          <w:rFonts w:asciiTheme="majorBidi" w:hAnsiTheme="majorBidi" w:cstheme="majorBidi"/>
          <w:sz w:val="24"/>
          <w:szCs w:val="24"/>
        </w:rPr>
        <w:t>https://pdaps.org</w:t>
      </w:r>
    </w:p>
    <w:p w14:paraId="58E2759B" w14:textId="7788C5CB" w:rsidR="00526E24" w:rsidRPr="00715078" w:rsidRDefault="00526E24" w:rsidP="00C333C6">
      <w:pPr>
        <w:spacing w:line="360" w:lineRule="auto"/>
        <w:ind w:left="720" w:hanging="720"/>
        <w:rPr>
          <w:rFonts w:asciiTheme="majorBidi" w:hAnsiTheme="majorBidi" w:cstheme="majorBidi"/>
          <w:sz w:val="24"/>
          <w:szCs w:val="24"/>
        </w:rPr>
      </w:pPr>
      <w:r w:rsidRPr="00715078">
        <w:rPr>
          <w:rFonts w:asciiTheme="majorBidi" w:hAnsiTheme="majorBidi" w:cstheme="majorBidi"/>
          <w:sz w:val="24"/>
          <w:szCs w:val="24"/>
        </w:rPr>
        <w:t>Ritter, Alison and Cameron, Jacqui. 2006. “A review of the efficacy and effectiveness of harm reduction strategies for alcohol, tobacco and illicit drugs</w:t>
      </w:r>
      <w:r w:rsidR="00B667B7" w:rsidRPr="00715078">
        <w:rPr>
          <w:rFonts w:asciiTheme="majorBidi" w:hAnsiTheme="majorBidi" w:cstheme="majorBidi"/>
          <w:sz w:val="24"/>
          <w:szCs w:val="24"/>
        </w:rPr>
        <w:t>”,</w:t>
      </w:r>
      <w:r w:rsidRPr="00715078">
        <w:rPr>
          <w:rFonts w:asciiTheme="majorBidi" w:hAnsiTheme="majorBidi" w:cstheme="majorBidi"/>
          <w:sz w:val="24"/>
          <w:szCs w:val="24"/>
        </w:rPr>
        <w:t xml:space="preserve"> </w:t>
      </w:r>
      <w:r w:rsidRPr="00715078">
        <w:rPr>
          <w:rFonts w:asciiTheme="majorBidi" w:hAnsiTheme="majorBidi" w:cstheme="majorBidi"/>
          <w:i/>
          <w:iCs/>
          <w:sz w:val="24"/>
          <w:szCs w:val="24"/>
        </w:rPr>
        <w:t xml:space="preserve">Drug and </w:t>
      </w:r>
      <w:r w:rsidR="00A36B23" w:rsidRPr="00715078">
        <w:rPr>
          <w:rFonts w:asciiTheme="majorBidi" w:hAnsiTheme="majorBidi" w:cstheme="majorBidi"/>
          <w:i/>
          <w:iCs/>
          <w:sz w:val="24"/>
          <w:szCs w:val="24"/>
        </w:rPr>
        <w:t>A</w:t>
      </w:r>
      <w:r w:rsidRPr="00715078">
        <w:rPr>
          <w:rFonts w:asciiTheme="majorBidi" w:hAnsiTheme="majorBidi" w:cstheme="majorBidi"/>
          <w:i/>
          <w:iCs/>
          <w:sz w:val="24"/>
          <w:szCs w:val="24"/>
        </w:rPr>
        <w:t xml:space="preserve">lcohol </w:t>
      </w:r>
      <w:r w:rsidR="00A36B23" w:rsidRPr="00715078">
        <w:rPr>
          <w:rFonts w:asciiTheme="majorBidi" w:hAnsiTheme="majorBidi" w:cstheme="majorBidi"/>
          <w:i/>
          <w:iCs/>
          <w:sz w:val="24"/>
          <w:szCs w:val="24"/>
        </w:rPr>
        <w:t>R</w:t>
      </w:r>
      <w:r w:rsidRPr="00715078">
        <w:rPr>
          <w:rFonts w:asciiTheme="majorBidi" w:hAnsiTheme="majorBidi" w:cstheme="majorBidi"/>
          <w:i/>
          <w:iCs/>
          <w:sz w:val="24"/>
          <w:szCs w:val="24"/>
        </w:rPr>
        <w:t>eview</w:t>
      </w:r>
      <w:r w:rsidRPr="00715078">
        <w:rPr>
          <w:rFonts w:asciiTheme="majorBidi" w:hAnsiTheme="majorBidi" w:cstheme="majorBidi"/>
          <w:sz w:val="24"/>
          <w:szCs w:val="24"/>
        </w:rPr>
        <w:t xml:space="preserve">, </w:t>
      </w:r>
      <w:r w:rsidR="00B667B7" w:rsidRPr="00715078">
        <w:rPr>
          <w:rFonts w:asciiTheme="majorBidi" w:hAnsiTheme="majorBidi" w:cstheme="majorBidi"/>
          <w:sz w:val="24"/>
          <w:szCs w:val="24"/>
        </w:rPr>
        <w:t xml:space="preserve">Vol. </w:t>
      </w:r>
      <w:r w:rsidRPr="00715078">
        <w:rPr>
          <w:rFonts w:asciiTheme="majorBidi" w:hAnsiTheme="majorBidi" w:cstheme="majorBidi"/>
          <w:sz w:val="24"/>
          <w:szCs w:val="24"/>
        </w:rPr>
        <w:t>25</w:t>
      </w:r>
      <w:r w:rsidR="00B667B7" w:rsidRPr="00715078">
        <w:rPr>
          <w:rFonts w:asciiTheme="majorBidi" w:hAnsiTheme="majorBidi" w:cstheme="majorBidi"/>
          <w:sz w:val="24"/>
          <w:szCs w:val="24"/>
        </w:rPr>
        <w:t xml:space="preserve">, No. </w:t>
      </w:r>
      <w:r w:rsidRPr="00715078">
        <w:rPr>
          <w:rFonts w:asciiTheme="majorBidi" w:hAnsiTheme="majorBidi" w:cstheme="majorBidi"/>
          <w:sz w:val="24"/>
          <w:szCs w:val="24"/>
        </w:rPr>
        <w:t>6,</w:t>
      </w:r>
      <w:r w:rsidR="00B667B7" w:rsidRPr="00715078">
        <w:rPr>
          <w:rFonts w:asciiTheme="majorBidi" w:hAnsiTheme="majorBidi" w:cstheme="majorBidi"/>
          <w:sz w:val="24"/>
          <w:szCs w:val="24"/>
        </w:rPr>
        <w:t xml:space="preserve"> pp.</w:t>
      </w:r>
      <w:r w:rsidRPr="00715078">
        <w:rPr>
          <w:rFonts w:asciiTheme="majorBidi" w:hAnsiTheme="majorBidi" w:cstheme="majorBidi"/>
          <w:sz w:val="24"/>
          <w:szCs w:val="24"/>
        </w:rPr>
        <w:t xml:space="preserve"> 611-624.</w:t>
      </w:r>
    </w:p>
    <w:p w14:paraId="6F1AA0EE" w14:textId="1C3FE5EB" w:rsidR="003007FB" w:rsidRPr="003007FB" w:rsidRDefault="003007FB" w:rsidP="00C333C6">
      <w:pPr>
        <w:spacing w:line="360" w:lineRule="auto"/>
        <w:ind w:left="720" w:hanging="720"/>
        <w:rPr>
          <w:rFonts w:asciiTheme="majorBidi" w:hAnsiTheme="majorBidi" w:cstheme="majorBidi"/>
          <w:sz w:val="24"/>
          <w:szCs w:val="24"/>
        </w:rPr>
      </w:pPr>
      <w:r w:rsidRPr="003007FB">
        <w:rPr>
          <w:rFonts w:asciiTheme="majorBidi" w:hAnsiTheme="majorBidi" w:cstheme="majorBidi"/>
          <w:sz w:val="24"/>
          <w:szCs w:val="24"/>
        </w:rPr>
        <w:t>Ruggles</w:t>
      </w:r>
      <w:r>
        <w:rPr>
          <w:rFonts w:asciiTheme="majorBidi" w:hAnsiTheme="majorBidi" w:cstheme="majorBidi"/>
          <w:sz w:val="24"/>
          <w:szCs w:val="24"/>
        </w:rPr>
        <w:t>,</w:t>
      </w:r>
      <w:r w:rsidRPr="003007FB">
        <w:rPr>
          <w:rFonts w:asciiTheme="majorBidi" w:hAnsiTheme="majorBidi" w:cstheme="majorBidi"/>
          <w:sz w:val="24"/>
          <w:szCs w:val="24"/>
        </w:rPr>
        <w:t xml:space="preserve"> </w:t>
      </w:r>
      <w:r>
        <w:rPr>
          <w:rFonts w:asciiTheme="majorBidi" w:hAnsiTheme="majorBidi" w:cstheme="majorBidi"/>
          <w:sz w:val="24"/>
          <w:szCs w:val="24"/>
        </w:rPr>
        <w:t>S</w:t>
      </w:r>
      <w:r w:rsidRPr="003007FB">
        <w:rPr>
          <w:rFonts w:asciiTheme="majorBidi" w:hAnsiTheme="majorBidi" w:cstheme="majorBidi"/>
          <w:sz w:val="24"/>
          <w:szCs w:val="24"/>
        </w:rPr>
        <w:t>teven</w:t>
      </w:r>
      <w:r>
        <w:rPr>
          <w:rFonts w:asciiTheme="majorBidi" w:hAnsiTheme="majorBidi" w:cstheme="majorBidi"/>
          <w:sz w:val="24"/>
          <w:szCs w:val="24"/>
        </w:rPr>
        <w:t xml:space="preserve"> and </w:t>
      </w:r>
      <w:r w:rsidRPr="003007FB">
        <w:rPr>
          <w:rFonts w:asciiTheme="majorBidi" w:hAnsiTheme="majorBidi" w:cstheme="majorBidi"/>
          <w:sz w:val="24"/>
          <w:szCs w:val="24"/>
        </w:rPr>
        <w:t xml:space="preserve">Flood, Sarah </w:t>
      </w:r>
      <w:r>
        <w:rPr>
          <w:rFonts w:asciiTheme="majorBidi" w:hAnsiTheme="majorBidi" w:cstheme="majorBidi"/>
          <w:sz w:val="24"/>
          <w:szCs w:val="24"/>
        </w:rPr>
        <w:t xml:space="preserve">and </w:t>
      </w:r>
      <w:r w:rsidRPr="003007FB">
        <w:rPr>
          <w:rFonts w:asciiTheme="majorBidi" w:hAnsiTheme="majorBidi" w:cstheme="majorBidi"/>
          <w:sz w:val="24"/>
          <w:szCs w:val="24"/>
        </w:rPr>
        <w:t xml:space="preserve">Goeken, Ronald </w:t>
      </w:r>
      <w:r>
        <w:rPr>
          <w:rFonts w:asciiTheme="majorBidi" w:hAnsiTheme="majorBidi" w:cstheme="majorBidi"/>
          <w:sz w:val="24"/>
          <w:szCs w:val="24"/>
        </w:rPr>
        <w:t xml:space="preserve">and </w:t>
      </w:r>
      <w:r w:rsidRPr="003007FB">
        <w:rPr>
          <w:rFonts w:asciiTheme="majorBidi" w:hAnsiTheme="majorBidi" w:cstheme="majorBidi"/>
          <w:sz w:val="24"/>
          <w:szCs w:val="24"/>
        </w:rPr>
        <w:t xml:space="preserve">Grover, Josiah </w:t>
      </w:r>
      <w:r>
        <w:rPr>
          <w:rFonts w:asciiTheme="majorBidi" w:hAnsiTheme="majorBidi" w:cstheme="majorBidi"/>
          <w:sz w:val="24"/>
          <w:szCs w:val="24"/>
        </w:rPr>
        <w:t xml:space="preserve">and </w:t>
      </w:r>
      <w:r w:rsidR="00B82F2B" w:rsidRPr="003007FB">
        <w:rPr>
          <w:rFonts w:asciiTheme="majorBidi" w:hAnsiTheme="majorBidi" w:cstheme="majorBidi"/>
          <w:sz w:val="24"/>
          <w:szCs w:val="24"/>
        </w:rPr>
        <w:t xml:space="preserve">Meyer, </w:t>
      </w:r>
      <w:r w:rsidRPr="003007FB">
        <w:rPr>
          <w:rFonts w:asciiTheme="majorBidi" w:hAnsiTheme="majorBidi" w:cstheme="majorBidi"/>
          <w:sz w:val="24"/>
          <w:szCs w:val="24"/>
        </w:rPr>
        <w:t xml:space="preserve">Erin </w:t>
      </w:r>
      <w:r w:rsidR="00B82F2B">
        <w:rPr>
          <w:rFonts w:asciiTheme="majorBidi" w:hAnsiTheme="majorBidi" w:cstheme="majorBidi"/>
          <w:sz w:val="24"/>
          <w:szCs w:val="24"/>
        </w:rPr>
        <w:t xml:space="preserve">and </w:t>
      </w:r>
      <w:r w:rsidR="00B82F2B" w:rsidRPr="003007FB">
        <w:rPr>
          <w:rFonts w:asciiTheme="majorBidi" w:hAnsiTheme="majorBidi" w:cstheme="majorBidi"/>
          <w:sz w:val="24"/>
          <w:szCs w:val="24"/>
        </w:rPr>
        <w:t>Pacas</w:t>
      </w:r>
      <w:r w:rsidR="00B82F2B">
        <w:rPr>
          <w:rFonts w:asciiTheme="majorBidi" w:hAnsiTheme="majorBidi" w:cstheme="majorBidi"/>
          <w:sz w:val="24"/>
          <w:szCs w:val="24"/>
        </w:rPr>
        <w:t>,</w:t>
      </w:r>
      <w:r w:rsidR="00B82F2B" w:rsidRPr="003007FB">
        <w:rPr>
          <w:rFonts w:asciiTheme="majorBidi" w:hAnsiTheme="majorBidi" w:cstheme="majorBidi"/>
          <w:sz w:val="24"/>
          <w:szCs w:val="24"/>
        </w:rPr>
        <w:t xml:space="preserve"> </w:t>
      </w:r>
      <w:r w:rsidRPr="003007FB">
        <w:rPr>
          <w:rFonts w:asciiTheme="majorBidi" w:hAnsiTheme="majorBidi" w:cstheme="majorBidi"/>
          <w:sz w:val="24"/>
          <w:szCs w:val="24"/>
        </w:rPr>
        <w:t xml:space="preserve">Jose and </w:t>
      </w:r>
      <w:r w:rsidR="00B82F2B" w:rsidRPr="003007FB">
        <w:rPr>
          <w:rFonts w:asciiTheme="majorBidi" w:hAnsiTheme="majorBidi" w:cstheme="majorBidi"/>
          <w:sz w:val="24"/>
          <w:szCs w:val="24"/>
        </w:rPr>
        <w:t>Sobek</w:t>
      </w:r>
      <w:r w:rsidR="00B82F2B">
        <w:rPr>
          <w:rFonts w:asciiTheme="majorBidi" w:hAnsiTheme="majorBidi" w:cstheme="majorBidi"/>
          <w:sz w:val="24"/>
          <w:szCs w:val="24"/>
        </w:rPr>
        <w:t>,</w:t>
      </w:r>
      <w:r w:rsidR="00B82F2B" w:rsidRPr="003007FB">
        <w:rPr>
          <w:rFonts w:asciiTheme="majorBidi" w:hAnsiTheme="majorBidi" w:cstheme="majorBidi"/>
          <w:sz w:val="24"/>
          <w:szCs w:val="24"/>
        </w:rPr>
        <w:t xml:space="preserve"> </w:t>
      </w:r>
      <w:r w:rsidRPr="003007FB">
        <w:rPr>
          <w:rFonts w:asciiTheme="majorBidi" w:hAnsiTheme="majorBidi" w:cstheme="majorBidi"/>
          <w:sz w:val="24"/>
          <w:szCs w:val="24"/>
        </w:rPr>
        <w:t xml:space="preserve">Matthew. </w:t>
      </w:r>
      <w:r w:rsidR="00B82F2B" w:rsidRPr="003007FB">
        <w:rPr>
          <w:rFonts w:asciiTheme="majorBidi" w:hAnsiTheme="majorBidi" w:cstheme="majorBidi"/>
          <w:sz w:val="24"/>
          <w:szCs w:val="24"/>
        </w:rPr>
        <w:t>2022</w:t>
      </w:r>
      <w:r w:rsidR="00B82F2B">
        <w:rPr>
          <w:rFonts w:asciiTheme="majorBidi" w:hAnsiTheme="majorBidi" w:cstheme="majorBidi"/>
          <w:sz w:val="24"/>
          <w:szCs w:val="24"/>
        </w:rPr>
        <w:t xml:space="preserve">. </w:t>
      </w:r>
      <w:r w:rsidR="006559FC">
        <w:rPr>
          <w:rFonts w:asciiTheme="majorBidi" w:hAnsiTheme="majorBidi" w:cstheme="majorBidi"/>
          <w:sz w:val="24"/>
          <w:szCs w:val="24"/>
        </w:rPr>
        <w:t>“</w:t>
      </w:r>
      <w:r w:rsidRPr="003007FB">
        <w:rPr>
          <w:rFonts w:asciiTheme="majorBidi" w:hAnsiTheme="majorBidi" w:cstheme="majorBidi"/>
          <w:sz w:val="24"/>
          <w:szCs w:val="24"/>
        </w:rPr>
        <w:t>IPUMS USA</w:t>
      </w:r>
      <w:r w:rsidR="006559FC">
        <w:rPr>
          <w:rFonts w:asciiTheme="majorBidi" w:hAnsiTheme="majorBidi" w:cstheme="majorBidi"/>
          <w:sz w:val="24"/>
          <w:szCs w:val="24"/>
        </w:rPr>
        <w:t>”</w:t>
      </w:r>
      <w:r w:rsidRPr="003007FB">
        <w:rPr>
          <w:rFonts w:asciiTheme="majorBidi" w:hAnsiTheme="majorBidi" w:cstheme="majorBidi"/>
          <w:sz w:val="24"/>
          <w:szCs w:val="24"/>
        </w:rPr>
        <w:t xml:space="preserve">: Version 12.0 [dataset]. Minneapolis, MN: </w:t>
      </w:r>
      <w:r w:rsidRPr="006559FC">
        <w:rPr>
          <w:rFonts w:asciiTheme="majorBidi" w:hAnsiTheme="majorBidi" w:cstheme="majorBidi"/>
          <w:i/>
          <w:iCs/>
          <w:sz w:val="24"/>
          <w:szCs w:val="24"/>
        </w:rPr>
        <w:t>IPUMS</w:t>
      </w:r>
      <w:r w:rsidR="00B82F2B">
        <w:rPr>
          <w:rFonts w:asciiTheme="majorBidi" w:hAnsiTheme="majorBidi" w:cstheme="majorBidi"/>
          <w:sz w:val="24"/>
          <w:szCs w:val="24"/>
        </w:rPr>
        <w:t>, URL:</w:t>
      </w:r>
      <w:r w:rsidRPr="003007FB">
        <w:rPr>
          <w:rFonts w:asciiTheme="majorBidi" w:hAnsiTheme="majorBidi" w:cstheme="majorBidi"/>
          <w:sz w:val="24"/>
          <w:szCs w:val="24"/>
        </w:rPr>
        <w:t> </w:t>
      </w:r>
      <w:r w:rsidRPr="00B82F2B">
        <w:rPr>
          <w:rFonts w:asciiTheme="majorBidi" w:hAnsiTheme="majorBidi" w:cstheme="majorBidi"/>
          <w:sz w:val="24"/>
          <w:szCs w:val="24"/>
        </w:rPr>
        <w:t>https://doi.org/10.18128/D010.V12.0</w:t>
      </w:r>
      <w:r w:rsidR="00B82F2B">
        <w:rPr>
          <w:rFonts w:asciiTheme="majorBidi" w:hAnsiTheme="majorBidi" w:cstheme="majorBidi"/>
          <w:sz w:val="24"/>
          <w:szCs w:val="24"/>
        </w:rPr>
        <w:t>.</w:t>
      </w:r>
    </w:p>
    <w:p w14:paraId="39FA9E7D" w14:textId="4B82AC59" w:rsidR="00C601B3" w:rsidRPr="00715078" w:rsidRDefault="00C601B3" w:rsidP="00C333C6">
      <w:pPr>
        <w:spacing w:line="360" w:lineRule="auto"/>
        <w:ind w:left="720" w:hanging="720"/>
        <w:rPr>
          <w:rFonts w:asciiTheme="majorBidi" w:hAnsiTheme="majorBidi" w:cstheme="majorBidi"/>
          <w:sz w:val="24"/>
          <w:szCs w:val="24"/>
        </w:rPr>
      </w:pPr>
      <w:r w:rsidRPr="00715078">
        <w:rPr>
          <w:rFonts w:asciiTheme="majorBidi" w:hAnsiTheme="majorBidi" w:cstheme="majorBidi"/>
          <w:sz w:val="24"/>
          <w:szCs w:val="24"/>
        </w:rPr>
        <w:t xml:space="preserve">Saffer, Henry and Chaloupka, Frank. 1999. “The demand for illicit drugs”, </w:t>
      </w:r>
      <w:r w:rsidRPr="00715078">
        <w:rPr>
          <w:rFonts w:asciiTheme="majorBidi" w:hAnsiTheme="majorBidi" w:cstheme="majorBidi"/>
          <w:i/>
          <w:iCs/>
          <w:sz w:val="24"/>
          <w:szCs w:val="24"/>
        </w:rPr>
        <w:t>Economic inquiry</w:t>
      </w:r>
      <w:r w:rsidRPr="00715078">
        <w:rPr>
          <w:rFonts w:asciiTheme="majorBidi" w:hAnsiTheme="majorBidi" w:cstheme="majorBidi"/>
          <w:sz w:val="24"/>
          <w:szCs w:val="24"/>
        </w:rPr>
        <w:t xml:space="preserve">, Vol. 37, No. 3, pp. 401-411. </w:t>
      </w:r>
    </w:p>
    <w:p w14:paraId="1E44A68F" w14:textId="403553F3" w:rsidR="00C623D1" w:rsidRPr="00715078" w:rsidRDefault="00C623D1" w:rsidP="00C333C6">
      <w:pPr>
        <w:spacing w:line="360" w:lineRule="auto"/>
        <w:ind w:left="720" w:hanging="720"/>
        <w:rPr>
          <w:rFonts w:asciiTheme="majorBidi" w:hAnsiTheme="majorBidi" w:cstheme="majorBidi"/>
          <w:sz w:val="24"/>
          <w:szCs w:val="24"/>
        </w:rPr>
      </w:pPr>
      <w:r w:rsidRPr="00715078">
        <w:rPr>
          <w:rFonts w:asciiTheme="majorBidi" w:hAnsiTheme="majorBidi" w:cstheme="majorBidi"/>
          <w:sz w:val="24"/>
          <w:szCs w:val="24"/>
        </w:rPr>
        <w:lastRenderedPageBreak/>
        <w:t>Smart, Rosanna, and Pardo, Bryce, and Davis, Corey. 2021. “Systematic review of the emerging literature on the effectiveness of naloxone access laws in the United States” Addiction, Vol. 116, No. 1, pp. 6-17.</w:t>
      </w:r>
    </w:p>
    <w:p w14:paraId="4AB67B30" w14:textId="77777777" w:rsidR="00C623D1" w:rsidRPr="00715078" w:rsidRDefault="00C623D1" w:rsidP="00C333C6">
      <w:pPr>
        <w:spacing w:line="360" w:lineRule="auto"/>
        <w:ind w:left="720" w:hanging="720"/>
        <w:rPr>
          <w:rFonts w:asciiTheme="majorBidi" w:hAnsiTheme="majorBidi" w:cstheme="majorBidi"/>
          <w:sz w:val="24"/>
          <w:szCs w:val="24"/>
        </w:rPr>
      </w:pPr>
      <w:r w:rsidRPr="00715078">
        <w:rPr>
          <w:rFonts w:asciiTheme="majorBidi" w:hAnsiTheme="majorBidi" w:cstheme="majorBidi"/>
          <w:sz w:val="24"/>
          <w:szCs w:val="24"/>
        </w:rPr>
        <w:t>Sordo, Luis, et al. 2017. “Mortality risk during and after opioid substitution treatment: systematic review and meta-analysis of cohort studies”, BMJ, Vol. 357.</w:t>
      </w:r>
    </w:p>
    <w:p w14:paraId="55A0C5F7" w14:textId="77777777" w:rsidR="00C623D1" w:rsidRPr="00715078" w:rsidRDefault="00C623D1" w:rsidP="00C333C6">
      <w:pPr>
        <w:spacing w:line="360" w:lineRule="auto"/>
        <w:ind w:left="720" w:hanging="720"/>
        <w:rPr>
          <w:rFonts w:asciiTheme="majorBidi" w:hAnsiTheme="majorBidi" w:cstheme="majorBidi"/>
          <w:sz w:val="24"/>
          <w:szCs w:val="24"/>
        </w:rPr>
      </w:pPr>
      <w:r w:rsidRPr="00715078">
        <w:rPr>
          <w:rFonts w:asciiTheme="majorBidi" w:hAnsiTheme="majorBidi" w:cstheme="majorBidi"/>
          <w:sz w:val="24"/>
          <w:szCs w:val="24"/>
        </w:rPr>
        <w:t>Spencer, Noah. 2022. “Does Decriminalization Cause More Drug Overdose Deaths? Evidence from Oregon Measure 110”, University of Toronto, Department of Economics, Working Paper, ZDB-ID 2822519-3, Vol. 745.</w:t>
      </w:r>
    </w:p>
    <w:p w14:paraId="13D7734B" w14:textId="77777777" w:rsidR="00C623D1" w:rsidRPr="00715078" w:rsidRDefault="00C623D1" w:rsidP="00C333C6">
      <w:pPr>
        <w:spacing w:line="360" w:lineRule="auto"/>
        <w:ind w:left="720" w:hanging="720"/>
        <w:rPr>
          <w:rFonts w:asciiTheme="majorBidi" w:hAnsiTheme="majorBidi" w:cstheme="majorBidi"/>
          <w:sz w:val="24"/>
          <w:szCs w:val="24"/>
        </w:rPr>
      </w:pPr>
      <w:r w:rsidRPr="00715078">
        <w:rPr>
          <w:rFonts w:asciiTheme="majorBidi" w:hAnsiTheme="majorBidi" w:cstheme="majorBidi"/>
          <w:sz w:val="24"/>
          <w:szCs w:val="24"/>
        </w:rPr>
        <w:t>Strathdee, Steffanie, et al. 2006. “Facilitating entry into drug treatment among injection drug users referred from a needle exchange program: Results from a community-based behavioral intervention trial”, Drug and alcohol dependence, Vol. 83, No. 3, pp. 225-232.</w:t>
      </w:r>
    </w:p>
    <w:p w14:paraId="4B6EC090" w14:textId="77777777" w:rsidR="00C623D1" w:rsidRPr="00715078" w:rsidRDefault="00C623D1" w:rsidP="00C333C6">
      <w:pPr>
        <w:spacing w:line="360" w:lineRule="auto"/>
        <w:ind w:left="720" w:hanging="720"/>
        <w:rPr>
          <w:rFonts w:asciiTheme="majorBidi" w:hAnsiTheme="majorBidi" w:cstheme="majorBidi"/>
          <w:sz w:val="24"/>
          <w:szCs w:val="24"/>
        </w:rPr>
      </w:pPr>
      <w:r w:rsidRPr="00715078">
        <w:rPr>
          <w:rFonts w:asciiTheme="majorBidi" w:hAnsiTheme="majorBidi" w:cstheme="majorBidi"/>
          <w:sz w:val="24"/>
          <w:szCs w:val="24"/>
        </w:rPr>
        <w:t>Substance Abuse and Mental Health Services Administration. 2021. “2019-2020 national survey on drug use and health: Model-based prevalence estimates (50 states and the District of Columbia)”, URL https://www.samhsa.gov/data/sites/default/files/reports/rpt35339/2020NSDUHsaePercents012422/NSDUHsaePercents2020.pdf</w:t>
      </w:r>
    </w:p>
    <w:p w14:paraId="72DE369E" w14:textId="77777777" w:rsidR="00C623D1" w:rsidRPr="00715078" w:rsidRDefault="00C623D1" w:rsidP="00C333C6">
      <w:pPr>
        <w:spacing w:line="360" w:lineRule="auto"/>
        <w:ind w:left="720" w:hanging="720"/>
        <w:rPr>
          <w:rFonts w:asciiTheme="majorBidi" w:hAnsiTheme="majorBidi" w:cstheme="majorBidi"/>
          <w:sz w:val="24"/>
          <w:szCs w:val="24"/>
        </w:rPr>
      </w:pPr>
      <w:r w:rsidRPr="00715078">
        <w:rPr>
          <w:rFonts w:asciiTheme="majorBidi" w:hAnsiTheme="majorBidi" w:cstheme="majorBidi"/>
          <w:sz w:val="24"/>
          <w:szCs w:val="24"/>
        </w:rPr>
        <w:t xml:space="preserve">Towles, Jacob. 2022. “The Deficiencies of Oregon Ballot Measure 110”, </w:t>
      </w:r>
      <w:r w:rsidRPr="00715078">
        <w:rPr>
          <w:rFonts w:asciiTheme="majorBidi" w:hAnsiTheme="majorBidi" w:cstheme="majorBidi"/>
          <w:i/>
          <w:iCs/>
          <w:sz w:val="24"/>
          <w:szCs w:val="24"/>
        </w:rPr>
        <w:t xml:space="preserve">SMU Science and Technology Law Review, </w:t>
      </w:r>
      <w:r w:rsidRPr="00715078">
        <w:rPr>
          <w:rFonts w:asciiTheme="majorBidi" w:hAnsiTheme="majorBidi" w:cstheme="majorBidi"/>
          <w:sz w:val="24"/>
          <w:szCs w:val="24"/>
        </w:rPr>
        <w:t>Vol 25, No. 1, pp. 77-94.</w:t>
      </w:r>
    </w:p>
    <w:p w14:paraId="26DC7604" w14:textId="5F9A7516" w:rsidR="003169BA" w:rsidRDefault="003169BA" w:rsidP="00C333C6">
      <w:pPr>
        <w:spacing w:line="360" w:lineRule="auto"/>
        <w:ind w:left="720" w:hanging="720"/>
        <w:rPr>
          <w:rFonts w:asciiTheme="majorBidi" w:hAnsiTheme="majorBidi" w:cstheme="majorBidi"/>
          <w:sz w:val="24"/>
          <w:szCs w:val="24"/>
        </w:rPr>
      </w:pPr>
      <w:r w:rsidRPr="003169BA">
        <w:rPr>
          <w:rFonts w:asciiTheme="majorBidi" w:hAnsiTheme="majorBidi" w:cstheme="majorBidi"/>
          <w:sz w:val="24"/>
          <w:szCs w:val="24"/>
        </w:rPr>
        <w:t>U.S. Bureau of Economic Analysis, "SAINC1 State annual personal income summary: personal income, population, per capita personal income"</w:t>
      </w:r>
      <w:r>
        <w:rPr>
          <w:rFonts w:asciiTheme="majorBidi" w:hAnsiTheme="majorBidi" w:cstheme="majorBidi"/>
          <w:sz w:val="24"/>
          <w:szCs w:val="24"/>
        </w:rPr>
        <w:t xml:space="preserve">, </w:t>
      </w:r>
      <w:r w:rsidRPr="003169BA">
        <w:rPr>
          <w:rFonts w:asciiTheme="majorBidi" w:hAnsiTheme="majorBidi" w:cstheme="majorBidi"/>
          <w:sz w:val="24"/>
          <w:szCs w:val="24"/>
        </w:rPr>
        <w:t>accessed Sunday, May 21, 2023</w:t>
      </w:r>
      <w:r>
        <w:rPr>
          <w:rFonts w:asciiTheme="majorBidi" w:hAnsiTheme="majorBidi" w:cstheme="majorBidi"/>
          <w:sz w:val="24"/>
          <w:szCs w:val="24"/>
        </w:rPr>
        <w:t xml:space="preserve">. URL:  </w:t>
      </w:r>
      <w:r w:rsidRPr="003169BA">
        <w:rPr>
          <w:rFonts w:asciiTheme="majorBidi" w:hAnsiTheme="majorBidi" w:cstheme="majorBidi"/>
          <w:sz w:val="24"/>
          <w:szCs w:val="24"/>
        </w:rPr>
        <w:t>https://www.bea.gov/itable/regional-gdp-and-personal-income</w:t>
      </w:r>
    </w:p>
    <w:p w14:paraId="51E2313A" w14:textId="19066EFC" w:rsidR="00C623D1" w:rsidRPr="00715078" w:rsidRDefault="00C623D1" w:rsidP="00C333C6">
      <w:pPr>
        <w:spacing w:line="360" w:lineRule="auto"/>
        <w:ind w:left="720" w:hanging="720"/>
        <w:rPr>
          <w:rFonts w:asciiTheme="majorBidi" w:hAnsiTheme="majorBidi" w:cstheme="majorBidi"/>
          <w:sz w:val="24"/>
          <w:szCs w:val="24"/>
        </w:rPr>
      </w:pPr>
      <w:r w:rsidRPr="00715078">
        <w:rPr>
          <w:rFonts w:asciiTheme="majorBidi" w:hAnsiTheme="majorBidi" w:cstheme="majorBidi"/>
          <w:sz w:val="24"/>
          <w:szCs w:val="24"/>
        </w:rPr>
        <w:t xml:space="preserve">Williams, Jenny and Bretteville-Jensen, Anne. 2014. “Does liberalizing cannabis laws increase cannabis use?”, </w:t>
      </w:r>
      <w:r w:rsidRPr="00715078">
        <w:rPr>
          <w:rFonts w:asciiTheme="majorBidi" w:hAnsiTheme="majorBidi" w:cstheme="majorBidi"/>
          <w:i/>
          <w:iCs/>
          <w:sz w:val="24"/>
          <w:szCs w:val="24"/>
        </w:rPr>
        <w:t>Journal of Health Economics</w:t>
      </w:r>
      <w:r w:rsidRPr="00715078">
        <w:rPr>
          <w:rFonts w:asciiTheme="majorBidi" w:hAnsiTheme="majorBidi" w:cstheme="majorBidi"/>
          <w:sz w:val="24"/>
          <w:szCs w:val="24"/>
        </w:rPr>
        <w:t>, Vol. 36, pp. 20-32.</w:t>
      </w:r>
    </w:p>
    <w:p w14:paraId="6D875236" w14:textId="77777777" w:rsidR="00C623D1" w:rsidRPr="00715078" w:rsidRDefault="00C623D1" w:rsidP="00C623D1">
      <w:pPr>
        <w:rPr>
          <w:rFonts w:asciiTheme="majorBidi" w:hAnsiTheme="majorBidi" w:cstheme="majorBidi"/>
          <w:sz w:val="24"/>
          <w:szCs w:val="24"/>
        </w:rPr>
      </w:pPr>
      <w:r w:rsidRPr="00715078">
        <w:rPr>
          <w:rFonts w:asciiTheme="majorBidi" w:hAnsiTheme="majorBidi" w:cstheme="majorBidi"/>
          <w:sz w:val="24"/>
          <w:szCs w:val="24"/>
        </w:rPr>
        <w:br w:type="page"/>
      </w:r>
    </w:p>
    <w:p w14:paraId="7B69E124" w14:textId="41804CA9" w:rsidR="00C623D1" w:rsidRPr="00FE175E" w:rsidRDefault="00C333C6" w:rsidP="00C623D1">
      <w:pPr>
        <w:spacing w:line="480" w:lineRule="auto"/>
        <w:ind w:left="720" w:hanging="720"/>
        <w:rPr>
          <w:rFonts w:asciiTheme="majorBidi" w:hAnsiTheme="majorBidi" w:cstheme="majorBidi"/>
          <w:b/>
          <w:bCs/>
          <w:sz w:val="28"/>
          <w:szCs w:val="28"/>
        </w:rPr>
      </w:pPr>
      <w:r w:rsidRPr="00FE175E">
        <w:rPr>
          <w:rFonts w:asciiTheme="majorBidi" w:hAnsiTheme="majorBidi" w:cstheme="majorBidi"/>
          <w:b/>
          <w:bCs/>
          <w:sz w:val="28"/>
          <w:szCs w:val="28"/>
        </w:rPr>
        <w:lastRenderedPageBreak/>
        <w:t>Tables</w:t>
      </w:r>
    </w:p>
    <w:p w14:paraId="27EF2847" w14:textId="77777777" w:rsidR="00C623D1" w:rsidRPr="00715078" w:rsidRDefault="00C623D1" w:rsidP="00C623D1">
      <w:pPr>
        <w:widowControl w:val="0"/>
        <w:autoSpaceDE w:val="0"/>
        <w:autoSpaceDN w:val="0"/>
        <w:adjustRightInd w:val="0"/>
        <w:spacing w:after="0" w:line="240" w:lineRule="auto"/>
        <w:jc w:val="center"/>
        <w:rPr>
          <w:rFonts w:asciiTheme="majorBidi" w:hAnsiTheme="majorBidi" w:cstheme="majorBidi"/>
          <w:b/>
          <w:bCs/>
          <w:sz w:val="24"/>
          <w:szCs w:val="24"/>
        </w:rPr>
      </w:pPr>
      <w:bookmarkStart w:id="4" w:name="_Hlk133526314"/>
      <w:r w:rsidRPr="00715078">
        <w:rPr>
          <w:rFonts w:asciiTheme="majorBidi" w:hAnsiTheme="majorBidi" w:cstheme="majorBidi"/>
          <w:b/>
          <w:bCs/>
          <w:sz w:val="24"/>
          <w:szCs w:val="24"/>
        </w:rPr>
        <w:t>Table 1. Mean Monthly Unintentional Overdose Deaths</w:t>
      </w:r>
    </w:p>
    <w:tbl>
      <w:tblPr>
        <w:tblW w:w="8224" w:type="dxa"/>
        <w:tblInd w:w="577" w:type="dxa"/>
        <w:tblLayout w:type="fixed"/>
        <w:tblCellMar>
          <w:left w:w="75" w:type="dxa"/>
          <w:right w:w="75" w:type="dxa"/>
        </w:tblCellMar>
        <w:tblLook w:val="0000" w:firstRow="0" w:lastRow="0" w:firstColumn="0" w:lastColumn="0" w:noHBand="0" w:noVBand="0"/>
      </w:tblPr>
      <w:tblGrid>
        <w:gridCol w:w="6832"/>
        <w:gridCol w:w="1392"/>
      </w:tblGrid>
      <w:tr w:rsidR="00C623D1" w:rsidRPr="00715078" w14:paraId="0818A11F" w14:textId="77777777" w:rsidTr="00CF5CDE">
        <w:trPr>
          <w:trHeight w:val="267"/>
        </w:trPr>
        <w:tc>
          <w:tcPr>
            <w:tcW w:w="6832" w:type="dxa"/>
            <w:tcBorders>
              <w:top w:val="single" w:sz="4" w:space="0" w:color="auto"/>
              <w:left w:val="nil"/>
              <w:bottom w:val="nil"/>
              <w:right w:val="nil"/>
            </w:tcBorders>
          </w:tcPr>
          <w:p w14:paraId="1CE8EB8F" w14:textId="77777777" w:rsidR="00C623D1" w:rsidRPr="00715078" w:rsidRDefault="00C623D1" w:rsidP="00CF5CDE">
            <w:pPr>
              <w:widowControl w:val="0"/>
              <w:autoSpaceDE w:val="0"/>
              <w:autoSpaceDN w:val="0"/>
              <w:adjustRightInd w:val="0"/>
              <w:spacing w:after="0" w:line="240" w:lineRule="auto"/>
              <w:rPr>
                <w:rFonts w:asciiTheme="majorBidi" w:hAnsiTheme="majorBidi" w:cstheme="majorBidi"/>
                <w:sz w:val="24"/>
                <w:szCs w:val="24"/>
              </w:rPr>
            </w:pPr>
            <w:r w:rsidRPr="00715078">
              <w:rPr>
                <w:rFonts w:asciiTheme="majorBidi" w:hAnsiTheme="majorBidi" w:cstheme="majorBidi"/>
                <w:sz w:val="24"/>
                <w:szCs w:val="24"/>
              </w:rPr>
              <w:t>Oregon, Pre-Measure 110</w:t>
            </w:r>
          </w:p>
        </w:tc>
        <w:tc>
          <w:tcPr>
            <w:tcW w:w="1392" w:type="dxa"/>
            <w:tcBorders>
              <w:top w:val="single" w:sz="4" w:space="0" w:color="auto"/>
              <w:left w:val="nil"/>
              <w:bottom w:val="nil"/>
              <w:right w:val="nil"/>
            </w:tcBorders>
          </w:tcPr>
          <w:p w14:paraId="2EA19688" w14:textId="77777777" w:rsidR="00C623D1" w:rsidRPr="00715078" w:rsidRDefault="00C623D1" w:rsidP="00CF5CDE">
            <w:pPr>
              <w:widowControl w:val="0"/>
              <w:autoSpaceDE w:val="0"/>
              <w:autoSpaceDN w:val="0"/>
              <w:adjustRightInd w:val="0"/>
              <w:spacing w:after="0" w:line="240" w:lineRule="auto"/>
              <w:jc w:val="center"/>
              <w:rPr>
                <w:rFonts w:asciiTheme="majorBidi" w:hAnsiTheme="majorBidi" w:cstheme="majorBidi"/>
                <w:sz w:val="24"/>
                <w:szCs w:val="24"/>
              </w:rPr>
            </w:pPr>
            <w:r w:rsidRPr="00715078">
              <w:rPr>
                <w:rFonts w:asciiTheme="majorBidi" w:hAnsiTheme="majorBidi" w:cstheme="majorBidi"/>
                <w:sz w:val="24"/>
                <w:szCs w:val="24"/>
              </w:rPr>
              <w:t>46</w:t>
            </w:r>
          </w:p>
        </w:tc>
      </w:tr>
      <w:tr w:rsidR="00C623D1" w:rsidRPr="00715078" w14:paraId="4C52308A" w14:textId="77777777" w:rsidTr="00CF5CDE">
        <w:trPr>
          <w:trHeight w:val="284"/>
        </w:trPr>
        <w:tc>
          <w:tcPr>
            <w:tcW w:w="6832" w:type="dxa"/>
            <w:tcBorders>
              <w:top w:val="nil"/>
              <w:left w:val="nil"/>
              <w:bottom w:val="nil"/>
              <w:right w:val="nil"/>
            </w:tcBorders>
          </w:tcPr>
          <w:p w14:paraId="33E9E134" w14:textId="77777777" w:rsidR="00C623D1" w:rsidRPr="00715078" w:rsidRDefault="00C623D1" w:rsidP="00CF5CDE">
            <w:pPr>
              <w:widowControl w:val="0"/>
              <w:autoSpaceDE w:val="0"/>
              <w:autoSpaceDN w:val="0"/>
              <w:adjustRightInd w:val="0"/>
              <w:spacing w:after="0" w:line="240" w:lineRule="auto"/>
              <w:rPr>
                <w:rFonts w:asciiTheme="majorBidi" w:hAnsiTheme="majorBidi" w:cstheme="majorBidi"/>
                <w:sz w:val="24"/>
                <w:szCs w:val="24"/>
              </w:rPr>
            </w:pPr>
            <w:r w:rsidRPr="00715078">
              <w:rPr>
                <w:rFonts w:asciiTheme="majorBidi" w:hAnsiTheme="majorBidi" w:cstheme="majorBidi"/>
                <w:sz w:val="24"/>
                <w:szCs w:val="24"/>
              </w:rPr>
              <w:t>Oregon, Post-Measure 110</w:t>
            </w:r>
          </w:p>
        </w:tc>
        <w:tc>
          <w:tcPr>
            <w:tcW w:w="1392" w:type="dxa"/>
            <w:tcBorders>
              <w:top w:val="nil"/>
              <w:left w:val="nil"/>
              <w:bottom w:val="nil"/>
              <w:right w:val="nil"/>
            </w:tcBorders>
          </w:tcPr>
          <w:p w14:paraId="2E71518C" w14:textId="1B44246C" w:rsidR="00C623D1" w:rsidRPr="00715078" w:rsidRDefault="00C623D1" w:rsidP="00CF5CDE">
            <w:pPr>
              <w:widowControl w:val="0"/>
              <w:autoSpaceDE w:val="0"/>
              <w:autoSpaceDN w:val="0"/>
              <w:adjustRightInd w:val="0"/>
              <w:spacing w:after="0" w:line="240" w:lineRule="auto"/>
              <w:jc w:val="center"/>
              <w:rPr>
                <w:rFonts w:asciiTheme="majorBidi" w:hAnsiTheme="majorBidi" w:cstheme="majorBidi"/>
                <w:sz w:val="24"/>
                <w:szCs w:val="24"/>
              </w:rPr>
            </w:pPr>
            <w:r w:rsidRPr="00715078">
              <w:rPr>
                <w:rFonts w:asciiTheme="majorBidi" w:hAnsiTheme="majorBidi" w:cstheme="majorBidi"/>
                <w:sz w:val="24"/>
                <w:szCs w:val="24"/>
              </w:rPr>
              <w:t>9</w:t>
            </w:r>
            <w:r w:rsidR="00D912DB">
              <w:rPr>
                <w:rFonts w:asciiTheme="majorBidi" w:hAnsiTheme="majorBidi" w:cstheme="majorBidi"/>
                <w:sz w:val="24"/>
                <w:szCs w:val="24"/>
              </w:rPr>
              <w:t>1</w:t>
            </w:r>
          </w:p>
        </w:tc>
      </w:tr>
      <w:tr w:rsidR="00C623D1" w:rsidRPr="00715078" w14:paraId="2E619DAA" w14:textId="77777777" w:rsidTr="00CF5CDE">
        <w:trPr>
          <w:trHeight w:val="267"/>
        </w:trPr>
        <w:tc>
          <w:tcPr>
            <w:tcW w:w="6832" w:type="dxa"/>
            <w:tcBorders>
              <w:top w:val="nil"/>
              <w:left w:val="nil"/>
              <w:bottom w:val="nil"/>
              <w:right w:val="nil"/>
            </w:tcBorders>
          </w:tcPr>
          <w:p w14:paraId="081CFF52" w14:textId="77777777" w:rsidR="00C623D1" w:rsidRPr="00715078" w:rsidRDefault="00C623D1" w:rsidP="00CF5CDE">
            <w:pPr>
              <w:widowControl w:val="0"/>
              <w:autoSpaceDE w:val="0"/>
              <w:autoSpaceDN w:val="0"/>
              <w:adjustRightInd w:val="0"/>
              <w:spacing w:after="0" w:line="240" w:lineRule="auto"/>
              <w:rPr>
                <w:rFonts w:asciiTheme="majorBidi" w:hAnsiTheme="majorBidi" w:cstheme="majorBidi"/>
                <w:sz w:val="24"/>
                <w:szCs w:val="24"/>
              </w:rPr>
            </w:pPr>
            <w:r w:rsidRPr="00715078">
              <w:rPr>
                <w:rFonts w:asciiTheme="majorBidi" w:hAnsiTheme="majorBidi" w:cstheme="majorBidi"/>
                <w:sz w:val="24"/>
                <w:szCs w:val="24"/>
              </w:rPr>
              <w:t>Rest of Sample, Pre-Measure 110</w:t>
            </w:r>
          </w:p>
        </w:tc>
        <w:tc>
          <w:tcPr>
            <w:tcW w:w="1392" w:type="dxa"/>
            <w:tcBorders>
              <w:top w:val="nil"/>
              <w:left w:val="nil"/>
              <w:bottom w:val="nil"/>
              <w:right w:val="nil"/>
            </w:tcBorders>
          </w:tcPr>
          <w:p w14:paraId="5B7B9074" w14:textId="41074C99" w:rsidR="00C623D1" w:rsidRPr="00715078" w:rsidRDefault="00C623D1" w:rsidP="00CF5CDE">
            <w:pPr>
              <w:widowControl w:val="0"/>
              <w:autoSpaceDE w:val="0"/>
              <w:autoSpaceDN w:val="0"/>
              <w:adjustRightInd w:val="0"/>
              <w:spacing w:after="0" w:line="240" w:lineRule="auto"/>
              <w:jc w:val="center"/>
              <w:rPr>
                <w:rFonts w:asciiTheme="majorBidi" w:hAnsiTheme="majorBidi" w:cstheme="majorBidi"/>
                <w:sz w:val="24"/>
                <w:szCs w:val="24"/>
              </w:rPr>
            </w:pPr>
            <w:r w:rsidRPr="00715078">
              <w:rPr>
                <w:rFonts w:asciiTheme="majorBidi" w:hAnsiTheme="majorBidi" w:cstheme="majorBidi"/>
                <w:sz w:val="24"/>
                <w:szCs w:val="24"/>
              </w:rPr>
              <w:t>12</w:t>
            </w:r>
            <w:r w:rsidR="00D912DB">
              <w:rPr>
                <w:rFonts w:asciiTheme="majorBidi" w:hAnsiTheme="majorBidi" w:cstheme="majorBidi"/>
                <w:sz w:val="24"/>
                <w:szCs w:val="24"/>
              </w:rPr>
              <w:t>5</w:t>
            </w:r>
          </w:p>
        </w:tc>
      </w:tr>
      <w:tr w:rsidR="00C623D1" w:rsidRPr="00715078" w14:paraId="21ABFF6F" w14:textId="77777777" w:rsidTr="00CF5CDE">
        <w:trPr>
          <w:trHeight w:val="284"/>
        </w:trPr>
        <w:tc>
          <w:tcPr>
            <w:tcW w:w="6832" w:type="dxa"/>
            <w:tcBorders>
              <w:top w:val="nil"/>
              <w:left w:val="nil"/>
              <w:bottom w:val="single" w:sz="4" w:space="0" w:color="auto"/>
              <w:right w:val="nil"/>
            </w:tcBorders>
          </w:tcPr>
          <w:p w14:paraId="71EA4F55" w14:textId="77777777" w:rsidR="00C623D1" w:rsidRPr="00715078" w:rsidRDefault="00C623D1" w:rsidP="00CF5CDE">
            <w:pPr>
              <w:widowControl w:val="0"/>
              <w:autoSpaceDE w:val="0"/>
              <w:autoSpaceDN w:val="0"/>
              <w:adjustRightInd w:val="0"/>
              <w:spacing w:after="0" w:line="240" w:lineRule="auto"/>
              <w:rPr>
                <w:rFonts w:asciiTheme="majorBidi" w:hAnsiTheme="majorBidi" w:cstheme="majorBidi"/>
                <w:sz w:val="24"/>
                <w:szCs w:val="24"/>
              </w:rPr>
            </w:pPr>
            <w:r w:rsidRPr="00715078">
              <w:rPr>
                <w:rFonts w:asciiTheme="majorBidi" w:hAnsiTheme="majorBidi" w:cstheme="majorBidi"/>
                <w:sz w:val="24"/>
                <w:szCs w:val="24"/>
              </w:rPr>
              <w:t>Rest of Sample, Post-Measure 110</w:t>
            </w:r>
          </w:p>
        </w:tc>
        <w:tc>
          <w:tcPr>
            <w:tcW w:w="1392" w:type="dxa"/>
            <w:tcBorders>
              <w:top w:val="nil"/>
              <w:left w:val="nil"/>
              <w:bottom w:val="single" w:sz="4" w:space="0" w:color="auto"/>
              <w:right w:val="nil"/>
            </w:tcBorders>
          </w:tcPr>
          <w:p w14:paraId="44F26225" w14:textId="6259A712" w:rsidR="00C623D1" w:rsidRPr="00715078" w:rsidRDefault="00C623D1" w:rsidP="00CF5CDE">
            <w:pPr>
              <w:widowControl w:val="0"/>
              <w:autoSpaceDE w:val="0"/>
              <w:autoSpaceDN w:val="0"/>
              <w:adjustRightInd w:val="0"/>
              <w:spacing w:after="0" w:line="240" w:lineRule="auto"/>
              <w:jc w:val="center"/>
              <w:rPr>
                <w:rFonts w:asciiTheme="majorBidi" w:hAnsiTheme="majorBidi" w:cstheme="majorBidi"/>
                <w:sz w:val="24"/>
                <w:szCs w:val="24"/>
              </w:rPr>
            </w:pPr>
            <w:r w:rsidRPr="00715078">
              <w:rPr>
                <w:rFonts w:asciiTheme="majorBidi" w:hAnsiTheme="majorBidi" w:cstheme="majorBidi"/>
                <w:sz w:val="24"/>
                <w:szCs w:val="24"/>
              </w:rPr>
              <w:t>1</w:t>
            </w:r>
            <w:r w:rsidR="00D912DB">
              <w:rPr>
                <w:rFonts w:asciiTheme="majorBidi" w:hAnsiTheme="majorBidi" w:cstheme="majorBidi"/>
                <w:sz w:val="24"/>
                <w:szCs w:val="24"/>
              </w:rPr>
              <w:t>70</w:t>
            </w:r>
          </w:p>
        </w:tc>
      </w:tr>
      <w:tr w:rsidR="00C623D1" w:rsidRPr="00715078" w14:paraId="2CEA186A" w14:textId="77777777" w:rsidTr="00CF5CDE">
        <w:trPr>
          <w:trHeight w:val="267"/>
        </w:trPr>
        <w:tc>
          <w:tcPr>
            <w:tcW w:w="6832" w:type="dxa"/>
            <w:tcBorders>
              <w:top w:val="single" w:sz="4" w:space="0" w:color="auto"/>
              <w:left w:val="nil"/>
              <w:bottom w:val="nil"/>
              <w:right w:val="nil"/>
            </w:tcBorders>
          </w:tcPr>
          <w:p w14:paraId="5E72FE91" w14:textId="77777777" w:rsidR="00C623D1" w:rsidRPr="00715078" w:rsidRDefault="00C623D1" w:rsidP="00CF5CDE">
            <w:pPr>
              <w:widowControl w:val="0"/>
              <w:autoSpaceDE w:val="0"/>
              <w:autoSpaceDN w:val="0"/>
              <w:adjustRightInd w:val="0"/>
              <w:spacing w:after="0" w:line="240" w:lineRule="auto"/>
              <w:rPr>
                <w:rFonts w:asciiTheme="majorBidi" w:hAnsiTheme="majorBidi" w:cstheme="majorBidi"/>
                <w:sz w:val="24"/>
                <w:szCs w:val="24"/>
              </w:rPr>
            </w:pPr>
            <w:r w:rsidRPr="00715078">
              <w:rPr>
                <w:rFonts w:asciiTheme="majorBidi" w:hAnsiTheme="majorBidi" w:cstheme="majorBidi"/>
                <w:sz w:val="24"/>
                <w:szCs w:val="24"/>
              </w:rPr>
              <w:t>Oregon, Pre-COVID-19 Lockdowns</w:t>
            </w:r>
          </w:p>
        </w:tc>
        <w:tc>
          <w:tcPr>
            <w:tcW w:w="1392" w:type="dxa"/>
            <w:tcBorders>
              <w:top w:val="single" w:sz="4" w:space="0" w:color="auto"/>
              <w:left w:val="nil"/>
              <w:bottom w:val="nil"/>
              <w:right w:val="nil"/>
            </w:tcBorders>
          </w:tcPr>
          <w:p w14:paraId="7C9CF82F" w14:textId="77777777" w:rsidR="00C623D1" w:rsidRPr="00715078" w:rsidRDefault="00C623D1" w:rsidP="00CF5CDE">
            <w:pPr>
              <w:widowControl w:val="0"/>
              <w:autoSpaceDE w:val="0"/>
              <w:autoSpaceDN w:val="0"/>
              <w:adjustRightInd w:val="0"/>
              <w:spacing w:after="0" w:line="240" w:lineRule="auto"/>
              <w:jc w:val="center"/>
              <w:rPr>
                <w:rFonts w:asciiTheme="majorBidi" w:hAnsiTheme="majorBidi" w:cstheme="majorBidi"/>
                <w:sz w:val="24"/>
                <w:szCs w:val="24"/>
              </w:rPr>
            </w:pPr>
            <w:r w:rsidRPr="00715078">
              <w:rPr>
                <w:rFonts w:asciiTheme="majorBidi" w:hAnsiTheme="majorBidi" w:cstheme="majorBidi"/>
                <w:sz w:val="24"/>
                <w:szCs w:val="24"/>
              </w:rPr>
              <w:t>39</w:t>
            </w:r>
          </w:p>
        </w:tc>
      </w:tr>
      <w:tr w:rsidR="00C623D1" w:rsidRPr="00715078" w14:paraId="0827CA5F" w14:textId="77777777" w:rsidTr="00CF5CDE">
        <w:tblPrEx>
          <w:tblBorders>
            <w:bottom w:val="single" w:sz="6" w:space="0" w:color="auto"/>
          </w:tblBorders>
        </w:tblPrEx>
        <w:trPr>
          <w:trHeight w:val="267"/>
        </w:trPr>
        <w:tc>
          <w:tcPr>
            <w:tcW w:w="6832" w:type="dxa"/>
            <w:tcBorders>
              <w:top w:val="nil"/>
              <w:left w:val="nil"/>
              <w:bottom w:val="nil"/>
              <w:right w:val="nil"/>
            </w:tcBorders>
          </w:tcPr>
          <w:p w14:paraId="2BB75F5E" w14:textId="77777777" w:rsidR="00C623D1" w:rsidRPr="00715078" w:rsidRDefault="00C623D1" w:rsidP="00CF5CDE">
            <w:pPr>
              <w:widowControl w:val="0"/>
              <w:autoSpaceDE w:val="0"/>
              <w:autoSpaceDN w:val="0"/>
              <w:adjustRightInd w:val="0"/>
              <w:spacing w:after="0" w:line="240" w:lineRule="auto"/>
              <w:rPr>
                <w:rFonts w:asciiTheme="majorBidi" w:hAnsiTheme="majorBidi" w:cstheme="majorBidi"/>
                <w:sz w:val="24"/>
                <w:szCs w:val="24"/>
              </w:rPr>
            </w:pPr>
            <w:r w:rsidRPr="00715078">
              <w:rPr>
                <w:rFonts w:asciiTheme="majorBidi" w:hAnsiTheme="majorBidi" w:cstheme="majorBidi"/>
                <w:sz w:val="24"/>
                <w:szCs w:val="24"/>
              </w:rPr>
              <w:t>Oregon, Post-COVID-19 Lockdowns</w:t>
            </w:r>
          </w:p>
        </w:tc>
        <w:tc>
          <w:tcPr>
            <w:tcW w:w="1392" w:type="dxa"/>
            <w:tcBorders>
              <w:top w:val="nil"/>
              <w:left w:val="nil"/>
              <w:bottom w:val="nil"/>
              <w:right w:val="nil"/>
            </w:tcBorders>
          </w:tcPr>
          <w:p w14:paraId="34D27037" w14:textId="77777777" w:rsidR="00C623D1" w:rsidRPr="00715078" w:rsidRDefault="00C623D1" w:rsidP="00CF5CDE">
            <w:pPr>
              <w:widowControl w:val="0"/>
              <w:autoSpaceDE w:val="0"/>
              <w:autoSpaceDN w:val="0"/>
              <w:adjustRightInd w:val="0"/>
              <w:spacing w:after="0" w:line="240" w:lineRule="auto"/>
              <w:jc w:val="center"/>
              <w:rPr>
                <w:rFonts w:asciiTheme="majorBidi" w:hAnsiTheme="majorBidi" w:cstheme="majorBidi"/>
                <w:sz w:val="24"/>
                <w:szCs w:val="24"/>
              </w:rPr>
            </w:pPr>
            <w:r w:rsidRPr="00715078">
              <w:rPr>
                <w:rFonts w:asciiTheme="majorBidi" w:hAnsiTheme="majorBidi" w:cstheme="majorBidi"/>
                <w:sz w:val="24"/>
                <w:szCs w:val="24"/>
              </w:rPr>
              <w:t>81</w:t>
            </w:r>
          </w:p>
        </w:tc>
      </w:tr>
      <w:tr w:rsidR="00C623D1" w:rsidRPr="00715078" w14:paraId="0D48D9AD" w14:textId="77777777" w:rsidTr="00CF5CDE">
        <w:tblPrEx>
          <w:tblBorders>
            <w:bottom w:val="single" w:sz="6" w:space="0" w:color="auto"/>
          </w:tblBorders>
        </w:tblPrEx>
        <w:trPr>
          <w:trHeight w:val="267"/>
        </w:trPr>
        <w:tc>
          <w:tcPr>
            <w:tcW w:w="6832" w:type="dxa"/>
            <w:tcBorders>
              <w:top w:val="nil"/>
              <w:left w:val="nil"/>
              <w:bottom w:val="nil"/>
              <w:right w:val="nil"/>
            </w:tcBorders>
          </w:tcPr>
          <w:p w14:paraId="798B5090" w14:textId="77777777" w:rsidR="00C623D1" w:rsidRPr="00715078" w:rsidRDefault="00C623D1" w:rsidP="00CF5CDE">
            <w:pPr>
              <w:widowControl w:val="0"/>
              <w:autoSpaceDE w:val="0"/>
              <w:autoSpaceDN w:val="0"/>
              <w:adjustRightInd w:val="0"/>
              <w:spacing w:after="0" w:line="240" w:lineRule="auto"/>
              <w:rPr>
                <w:rFonts w:asciiTheme="majorBidi" w:hAnsiTheme="majorBidi" w:cstheme="majorBidi"/>
                <w:sz w:val="24"/>
                <w:szCs w:val="24"/>
              </w:rPr>
            </w:pPr>
            <w:r w:rsidRPr="00715078">
              <w:rPr>
                <w:rFonts w:asciiTheme="majorBidi" w:hAnsiTheme="majorBidi" w:cstheme="majorBidi"/>
                <w:sz w:val="24"/>
                <w:szCs w:val="24"/>
              </w:rPr>
              <w:t>Rest of Sample, Pre-COVID-19 Lockdowns</w:t>
            </w:r>
          </w:p>
        </w:tc>
        <w:tc>
          <w:tcPr>
            <w:tcW w:w="1392" w:type="dxa"/>
            <w:tcBorders>
              <w:top w:val="nil"/>
              <w:left w:val="nil"/>
              <w:bottom w:val="nil"/>
              <w:right w:val="nil"/>
            </w:tcBorders>
          </w:tcPr>
          <w:p w14:paraId="709E8B09" w14:textId="77777777" w:rsidR="00C623D1" w:rsidRPr="00715078" w:rsidRDefault="00C623D1" w:rsidP="00CF5CDE">
            <w:pPr>
              <w:widowControl w:val="0"/>
              <w:autoSpaceDE w:val="0"/>
              <w:autoSpaceDN w:val="0"/>
              <w:adjustRightInd w:val="0"/>
              <w:spacing w:after="0" w:line="240" w:lineRule="auto"/>
              <w:jc w:val="center"/>
              <w:rPr>
                <w:rFonts w:asciiTheme="majorBidi" w:hAnsiTheme="majorBidi" w:cstheme="majorBidi"/>
                <w:sz w:val="24"/>
                <w:szCs w:val="24"/>
              </w:rPr>
            </w:pPr>
            <w:r w:rsidRPr="00715078">
              <w:rPr>
                <w:rFonts w:asciiTheme="majorBidi" w:hAnsiTheme="majorBidi" w:cstheme="majorBidi"/>
                <w:sz w:val="24"/>
                <w:szCs w:val="24"/>
              </w:rPr>
              <w:t>113</w:t>
            </w:r>
          </w:p>
        </w:tc>
      </w:tr>
      <w:tr w:rsidR="00C623D1" w:rsidRPr="00715078" w14:paraId="3C7E6B19" w14:textId="77777777" w:rsidTr="00CF5CDE">
        <w:trPr>
          <w:trHeight w:val="267"/>
        </w:trPr>
        <w:tc>
          <w:tcPr>
            <w:tcW w:w="6832" w:type="dxa"/>
            <w:tcBorders>
              <w:top w:val="nil"/>
              <w:left w:val="nil"/>
              <w:bottom w:val="single" w:sz="4" w:space="0" w:color="auto"/>
              <w:right w:val="nil"/>
            </w:tcBorders>
          </w:tcPr>
          <w:p w14:paraId="3ED369A3" w14:textId="77777777" w:rsidR="00C623D1" w:rsidRPr="00715078" w:rsidRDefault="00C623D1" w:rsidP="00CF5CDE">
            <w:pPr>
              <w:widowControl w:val="0"/>
              <w:autoSpaceDE w:val="0"/>
              <w:autoSpaceDN w:val="0"/>
              <w:adjustRightInd w:val="0"/>
              <w:spacing w:after="0" w:line="240" w:lineRule="auto"/>
              <w:rPr>
                <w:rFonts w:asciiTheme="majorBidi" w:hAnsiTheme="majorBidi" w:cstheme="majorBidi"/>
                <w:sz w:val="24"/>
                <w:szCs w:val="24"/>
              </w:rPr>
            </w:pPr>
            <w:r w:rsidRPr="00715078">
              <w:rPr>
                <w:rFonts w:asciiTheme="majorBidi" w:hAnsiTheme="majorBidi" w:cstheme="majorBidi"/>
                <w:sz w:val="24"/>
                <w:szCs w:val="24"/>
              </w:rPr>
              <w:t>Rest of Sample, Post-COVID-19 Lockdowns</w:t>
            </w:r>
          </w:p>
        </w:tc>
        <w:tc>
          <w:tcPr>
            <w:tcW w:w="1392" w:type="dxa"/>
            <w:tcBorders>
              <w:top w:val="nil"/>
              <w:left w:val="nil"/>
              <w:bottom w:val="single" w:sz="4" w:space="0" w:color="auto"/>
              <w:right w:val="nil"/>
            </w:tcBorders>
          </w:tcPr>
          <w:p w14:paraId="4F885700" w14:textId="77777777" w:rsidR="00C623D1" w:rsidRPr="00715078" w:rsidRDefault="00C623D1" w:rsidP="00CF5CDE">
            <w:pPr>
              <w:widowControl w:val="0"/>
              <w:autoSpaceDE w:val="0"/>
              <w:autoSpaceDN w:val="0"/>
              <w:adjustRightInd w:val="0"/>
              <w:spacing w:after="0" w:line="240" w:lineRule="auto"/>
              <w:jc w:val="center"/>
              <w:rPr>
                <w:rFonts w:asciiTheme="majorBidi" w:hAnsiTheme="majorBidi" w:cstheme="majorBidi"/>
                <w:sz w:val="24"/>
                <w:szCs w:val="24"/>
              </w:rPr>
            </w:pPr>
            <w:r w:rsidRPr="00715078">
              <w:rPr>
                <w:rFonts w:asciiTheme="majorBidi" w:hAnsiTheme="majorBidi" w:cstheme="majorBidi"/>
                <w:sz w:val="24"/>
                <w:szCs w:val="24"/>
              </w:rPr>
              <w:t>164</w:t>
            </w:r>
          </w:p>
        </w:tc>
      </w:tr>
      <w:tr w:rsidR="00C623D1" w:rsidRPr="00715078" w14:paraId="0461C172" w14:textId="77777777" w:rsidTr="00CF5CDE">
        <w:trPr>
          <w:trHeight w:val="284"/>
        </w:trPr>
        <w:tc>
          <w:tcPr>
            <w:tcW w:w="6832" w:type="dxa"/>
            <w:tcBorders>
              <w:top w:val="single" w:sz="4" w:space="0" w:color="auto"/>
              <w:left w:val="nil"/>
              <w:bottom w:val="nil"/>
              <w:right w:val="nil"/>
            </w:tcBorders>
          </w:tcPr>
          <w:p w14:paraId="58DF7E97" w14:textId="77777777" w:rsidR="00C623D1" w:rsidRPr="00715078" w:rsidRDefault="00C623D1" w:rsidP="00CF5CDE">
            <w:pPr>
              <w:widowControl w:val="0"/>
              <w:autoSpaceDE w:val="0"/>
              <w:autoSpaceDN w:val="0"/>
              <w:adjustRightInd w:val="0"/>
              <w:spacing w:after="0" w:line="240" w:lineRule="auto"/>
              <w:rPr>
                <w:rFonts w:asciiTheme="majorBidi" w:hAnsiTheme="majorBidi" w:cstheme="majorBidi"/>
                <w:sz w:val="24"/>
                <w:szCs w:val="24"/>
              </w:rPr>
            </w:pPr>
            <w:r w:rsidRPr="00715078">
              <w:rPr>
                <w:rFonts w:asciiTheme="majorBidi" w:hAnsiTheme="majorBidi" w:cstheme="majorBidi"/>
                <w:sz w:val="24"/>
                <w:szCs w:val="24"/>
              </w:rPr>
              <w:t>Oregon, Pre-Measure 110 Vote</w:t>
            </w:r>
          </w:p>
        </w:tc>
        <w:tc>
          <w:tcPr>
            <w:tcW w:w="1392" w:type="dxa"/>
            <w:tcBorders>
              <w:top w:val="single" w:sz="4" w:space="0" w:color="auto"/>
              <w:left w:val="nil"/>
              <w:bottom w:val="nil"/>
              <w:right w:val="nil"/>
            </w:tcBorders>
          </w:tcPr>
          <w:p w14:paraId="11083EE6" w14:textId="77777777" w:rsidR="00C623D1" w:rsidRPr="00715078" w:rsidRDefault="00C623D1" w:rsidP="00CF5CDE">
            <w:pPr>
              <w:widowControl w:val="0"/>
              <w:autoSpaceDE w:val="0"/>
              <w:autoSpaceDN w:val="0"/>
              <w:adjustRightInd w:val="0"/>
              <w:spacing w:after="0" w:line="240" w:lineRule="auto"/>
              <w:jc w:val="center"/>
              <w:rPr>
                <w:rFonts w:asciiTheme="majorBidi" w:hAnsiTheme="majorBidi" w:cstheme="majorBidi"/>
                <w:sz w:val="24"/>
                <w:szCs w:val="24"/>
              </w:rPr>
            </w:pPr>
            <w:r w:rsidRPr="00715078">
              <w:rPr>
                <w:rFonts w:asciiTheme="majorBidi" w:hAnsiTheme="majorBidi" w:cstheme="majorBidi"/>
                <w:sz w:val="24"/>
                <w:szCs w:val="24"/>
              </w:rPr>
              <w:t>44</w:t>
            </w:r>
          </w:p>
        </w:tc>
      </w:tr>
      <w:tr w:rsidR="00C623D1" w:rsidRPr="00715078" w14:paraId="5A448D29" w14:textId="77777777" w:rsidTr="00CF5CDE">
        <w:tblPrEx>
          <w:tblBorders>
            <w:bottom w:val="single" w:sz="6" w:space="0" w:color="auto"/>
          </w:tblBorders>
        </w:tblPrEx>
        <w:trPr>
          <w:trHeight w:val="284"/>
        </w:trPr>
        <w:tc>
          <w:tcPr>
            <w:tcW w:w="6832" w:type="dxa"/>
            <w:tcBorders>
              <w:top w:val="nil"/>
              <w:left w:val="nil"/>
              <w:bottom w:val="nil"/>
              <w:right w:val="nil"/>
            </w:tcBorders>
          </w:tcPr>
          <w:p w14:paraId="3546D542" w14:textId="77777777" w:rsidR="00C623D1" w:rsidRPr="00715078" w:rsidRDefault="00C623D1" w:rsidP="00CF5CDE">
            <w:pPr>
              <w:widowControl w:val="0"/>
              <w:autoSpaceDE w:val="0"/>
              <w:autoSpaceDN w:val="0"/>
              <w:adjustRightInd w:val="0"/>
              <w:spacing w:after="0" w:line="240" w:lineRule="auto"/>
              <w:rPr>
                <w:rFonts w:asciiTheme="majorBidi" w:hAnsiTheme="majorBidi" w:cstheme="majorBidi"/>
                <w:sz w:val="24"/>
                <w:szCs w:val="24"/>
              </w:rPr>
            </w:pPr>
            <w:r w:rsidRPr="00715078">
              <w:rPr>
                <w:rFonts w:asciiTheme="majorBidi" w:hAnsiTheme="majorBidi" w:cstheme="majorBidi"/>
                <w:sz w:val="24"/>
                <w:szCs w:val="24"/>
              </w:rPr>
              <w:t>Oregon, Post-Measure 110 Vote</w:t>
            </w:r>
          </w:p>
        </w:tc>
        <w:tc>
          <w:tcPr>
            <w:tcW w:w="1392" w:type="dxa"/>
            <w:tcBorders>
              <w:top w:val="nil"/>
              <w:left w:val="nil"/>
              <w:bottom w:val="nil"/>
              <w:right w:val="nil"/>
            </w:tcBorders>
          </w:tcPr>
          <w:p w14:paraId="79700A35" w14:textId="06882BB7" w:rsidR="00C623D1" w:rsidRPr="00715078" w:rsidRDefault="00C623D1" w:rsidP="00CF5CDE">
            <w:pPr>
              <w:widowControl w:val="0"/>
              <w:autoSpaceDE w:val="0"/>
              <w:autoSpaceDN w:val="0"/>
              <w:adjustRightInd w:val="0"/>
              <w:spacing w:after="0" w:line="240" w:lineRule="auto"/>
              <w:jc w:val="center"/>
              <w:rPr>
                <w:rFonts w:asciiTheme="majorBidi" w:hAnsiTheme="majorBidi" w:cstheme="majorBidi"/>
                <w:sz w:val="24"/>
                <w:szCs w:val="24"/>
              </w:rPr>
            </w:pPr>
            <w:r w:rsidRPr="00715078">
              <w:rPr>
                <w:rFonts w:asciiTheme="majorBidi" w:hAnsiTheme="majorBidi" w:cstheme="majorBidi"/>
                <w:sz w:val="24"/>
                <w:szCs w:val="24"/>
              </w:rPr>
              <w:t>8</w:t>
            </w:r>
            <w:r w:rsidR="00D912DB">
              <w:rPr>
                <w:rFonts w:asciiTheme="majorBidi" w:hAnsiTheme="majorBidi" w:cstheme="majorBidi"/>
                <w:sz w:val="24"/>
                <w:szCs w:val="24"/>
              </w:rPr>
              <w:t>9</w:t>
            </w:r>
          </w:p>
        </w:tc>
      </w:tr>
      <w:tr w:rsidR="00C623D1" w:rsidRPr="00715078" w14:paraId="0B629DBF" w14:textId="77777777" w:rsidTr="00CF5CDE">
        <w:tblPrEx>
          <w:tblBorders>
            <w:bottom w:val="single" w:sz="6" w:space="0" w:color="auto"/>
          </w:tblBorders>
        </w:tblPrEx>
        <w:trPr>
          <w:trHeight w:val="267"/>
        </w:trPr>
        <w:tc>
          <w:tcPr>
            <w:tcW w:w="6832" w:type="dxa"/>
            <w:tcBorders>
              <w:top w:val="nil"/>
              <w:left w:val="nil"/>
              <w:bottom w:val="nil"/>
              <w:right w:val="nil"/>
            </w:tcBorders>
          </w:tcPr>
          <w:p w14:paraId="12E84C1E" w14:textId="77777777" w:rsidR="00C623D1" w:rsidRPr="00715078" w:rsidRDefault="00C623D1" w:rsidP="00CF5CDE">
            <w:pPr>
              <w:widowControl w:val="0"/>
              <w:autoSpaceDE w:val="0"/>
              <w:autoSpaceDN w:val="0"/>
              <w:adjustRightInd w:val="0"/>
              <w:spacing w:after="0" w:line="240" w:lineRule="auto"/>
              <w:rPr>
                <w:rFonts w:asciiTheme="majorBidi" w:hAnsiTheme="majorBidi" w:cstheme="majorBidi"/>
                <w:sz w:val="24"/>
                <w:szCs w:val="24"/>
              </w:rPr>
            </w:pPr>
            <w:r w:rsidRPr="00715078">
              <w:rPr>
                <w:rFonts w:asciiTheme="majorBidi" w:hAnsiTheme="majorBidi" w:cstheme="majorBidi"/>
                <w:sz w:val="24"/>
                <w:szCs w:val="24"/>
              </w:rPr>
              <w:t>Rest of Sample, Pre-Measure 110 Vote</w:t>
            </w:r>
          </w:p>
        </w:tc>
        <w:tc>
          <w:tcPr>
            <w:tcW w:w="1392" w:type="dxa"/>
            <w:tcBorders>
              <w:top w:val="nil"/>
              <w:left w:val="nil"/>
              <w:bottom w:val="nil"/>
              <w:right w:val="nil"/>
            </w:tcBorders>
          </w:tcPr>
          <w:p w14:paraId="74BCD5CA" w14:textId="726FF2C8" w:rsidR="00C623D1" w:rsidRPr="00715078" w:rsidRDefault="00C623D1" w:rsidP="00CF5CDE">
            <w:pPr>
              <w:widowControl w:val="0"/>
              <w:autoSpaceDE w:val="0"/>
              <w:autoSpaceDN w:val="0"/>
              <w:adjustRightInd w:val="0"/>
              <w:spacing w:after="0" w:line="240" w:lineRule="auto"/>
              <w:jc w:val="center"/>
              <w:rPr>
                <w:rFonts w:asciiTheme="majorBidi" w:hAnsiTheme="majorBidi" w:cstheme="majorBidi"/>
                <w:sz w:val="24"/>
                <w:szCs w:val="24"/>
              </w:rPr>
            </w:pPr>
            <w:r w:rsidRPr="00715078">
              <w:rPr>
                <w:rFonts w:asciiTheme="majorBidi" w:hAnsiTheme="majorBidi" w:cstheme="majorBidi"/>
                <w:sz w:val="24"/>
                <w:szCs w:val="24"/>
              </w:rPr>
              <w:t>12</w:t>
            </w:r>
            <w:r w:rsidR="006F4295">
              <w:rPr>
                <w:rFonts w:asciiTheme="majorBidi" w:hAnsiTheme="majorBidi" w:cstheme="majorBidi"/>
                <w:sz w:val="24"/>
                <w:szCs w:val="24"/>
              </w:rPr>
              <w:t>3</w:t>
            </w:r>
          </w:p>
        </w:tc>
      </w:tr>
      <w:tr w:rsidR="00C623D1" w:rsidRPr="00715078" w14:paraId="5FFB1E7E" w14:textId="77777777" w:rsidTr="00CF5CDE">
        <w:trPr>
          <w:trHeight w:val="267"/>
        </w:trPr>
        <w:tc>
          <w:tcPr>
            <w:tcW w:w="6832" w:type="dxa"/>
            <w:tcBorders>
              <w:top w:val="nil"/>
              <w:left w:val="nil"/>
              <w:bottom w:val="single" w:sz="6" w:space="0" w:color="auto"/>
              <w:right w:val="nil"/>
            </w:tcBorders>
          </w:tcPr>
          <w:p w14:paraId="614A697F" w14:textId="77777777" w:rsidR="00C623D1" w:rsidRPr="00715078" w:rsidRDefault="00C623D1" w:rsidP="00CF5CDE">
            <w:pPr>
              <w:widowControl w:val="0"/>
              <w:autoSpaceDE w:val="0"/>
              <w:autoSpaceDN w:val="0"/>
              <w:adjustRightInd w:val="0"/>
              <w:spacing w:after="0" w:line="240" w:lineRule="auto"/>
              <w:rPr>
                <w:rFonts w:asciiTheme="majorBidi" w:hAnsiTheme="majorBidi" w:cstheme="majorBidi"/>
                <w:sz w:val="24"/>
                <w:szCs w:val="24"/>
              </w:rPr>
            </w:pPr>
            <w:r w:rsidRPr="00715078">
              <w:rPr>
                <w:rFonts w:asciiTheme="majorBidi" w:hAnsiTheme="majorBidi" w:cstheme="majorBidi"/>
                <w:sz w:val="24"/>
                <w:szCs w:val="24"/>
              </w:rPr>
              <w:t>Rest of Sample, Post-Measure 110 Vote</w:t>
            </w:r>
          </w:p>
        </w:tc>
        <w:tc>
          <w:tcPr>
            <w:tcW w:w="1392" w:type="dxa"/>
            <w:tcBorders>
              <w:top w:val="nil"/>
              <w:left w:val="nil"/>
              <w:bottom w:val="single" w:sz="6" w:space="0" w:color="auto"/>
              <w:right w:val="nil"/>
            </w:tcBorders>
          </w:tcPr>
          <w:p w14:paraId="7EBE276B" w14:textId="38B83282" w:rsidR="00C623D1" w:rsidRPr="00715078" w:rsidRDefault="00C623D1" w:rsidP="00CF5CDE">
            <w:pPr>
              <w:widowControl w:val="0"/>
              <w:autoSpaceDE w:val="0"/>
              <w:autoSpaceDN w:val="0"/>
              <w:adjustRightInd w:val="0"/>
              <w:spacing w:after="0" w:line="240" w:lineRule="auto"/>
              <w:jc w:val="center"/>
              <w:rPr>
                <w:rFonts w:asciiTheme="majorBidi" w:hAnsiTheme="majorBidi" w:cstheme="majorBidi"/>
                <w:sz w:val="24"/>
                <w:szCs w:val="24"/>
              </w:rPr>
            </w:pPr>
            <w:r w:rsidRPr="00715078">
              <w:rPr>
                <w:rFonts w:asciiTheme="majorBidi" w:hAnsiTheme="majorBidi" w:cstheme="majorBidi"/>
                <w:sz w:val="24"/>
                <w:szCs w:val="24"/>
              </w:rPr>
              <w:t>16</w:t>
            </w:r>
            <w:r w:rsidR="006F4295">
              <w:rPr>
                <w:rFonts w:asciiTheme="majorBidi" w:hAnsiTheme="majorBidi" w:cstheme="majorBidi"/>
                <w:sz w:val="24"/>
                <w:szCs w:val="24"/>
              </w:rPr>
              <w:t>7</w:t>
            </w:r>
          </w:p>
        </w:tc>
      </w:tr>
    </w:tbl>
    <w:bookmarkEnd w:id="4"/>
    <w:p w14:paraId="2897A49A" w14:textId="16CA51FE" w:rsidR="00C623D1" w:rsidRPr="00C333C6" w:rsidRDefault="00557B57" w:rsidP="00AD091F">
      <w:pPr>
        <w:spacing w:line="240" w:lineRule="auto"/>
        <w:ind w:left="720" w:right="720"/>
        <w:rPr>
          <w:rFonts w:asciiTheme="majorBidi" w:hAnsiTheme="majorBidi" w:cstheme="majorBidi"/>
          <w:b/>
          <w:bCs/>
          <w:sz w:val="24"/>
          <w:szCs w:val="24"/>
        </w:rPr>
      </w:pPr>
      <w:r>
        <w:rPr>
          <w:rFonts w:asciiTheme="majorBidi" w:hAnsiTheme="majorBidi" w:cstheme="majorBidi"/>
          <w:sz w:val="24"/>
          <w:szCs w:val="24"/>
        </w:rPr>
        <w:br/>
      </w:r>
      <w:r w:rsidR="000A3593" w:rsidRPr="00AD091F">
        <w:rPr>
          <w:rFonts w:asciiTheme="majorBidi" w:hAnsiTheme="majorBidi" w:cstheme="majorBidi"/>
          <w:sz w:val="21"/>
          <w:szCs w:val="21"/>
        </w:rPr>
        <w:t>Pre-Measure 110 refers to January 2018 through January 202</w:t>
      </w:r>
      <w:r w:rsidRPr="00AD091F">
        <w:rPr>
          <w:rFonts w:asciiTheme="majorBidi" w:hAnsiTheme="majorBidi" w:cstheme="majorBidi"/>
          <w:sz w:val="21"/>
          <w:szCs w:val="21"/>
        </w:rPr>
        <w:t>1</w:t>
      </w:r>
      <w:r w:rsidR="000A3593" w:rsidRPr="00AD091F">
        <w:rPr>
          <w:rFonts w:asciiTheme="majorBidi" w:hAnsiTheme="majorBidi" w:cstheme="majorBidi"/>
          <w:sz w:val="21"/>
          <w:szCs w:val="21"/>
        </w:rPr>
        <w:t xml:space="preserve">, Post-Measure 110 refers to February 2021 through October 2022. </w:t>
      </w:r>
      <w:r w:rsidRPr="00AD091F">
        <w:rPr>
          <w:rFonts w:asciiTheme="majorBidi" w:hAnsiTheme="majorBidi" w:cstheme="majorBidi"/>
          <w:sz w:val="21"/>
          <w:szCs w:val="21"/>
        </w:rPr>
        <w:t xml:space="preserve">Pre-COVID-19 Lockdowns refers to January 2018 through February 2020. </w:t>
      </w:r>
      <w:r w:rsidR="000A3593" w:rsidRPr="00AD091F">
        <w:rPr>
          <w:rFonts w:asciiTheme="majorBidi" w:hAnsiTheme="majorBidi" w:cstheme="majorBidi"/>
          <w:sz w:val="21"/>
          <w:szCs w:val="21"/>
        </w:rPr>
        <w:t>Post-COVID-19 Lockdowns refers to</w:t>
      </w:r>
      <w:r w:rsidRPr="00AD091F">
        <w:rPr>
          <w:rFonts w:asciiTheme="majorBidi" w:hAnsiTheme="majorBidi" w:cstheme="majorBidi"/>
          <w:sz w:val="21"/>
          <w:szCs w:val="21"/>
        </w:rPr>
        <w:t xml:space="preserve"> March 2020 through October 2022. Pre-Measure 110 Vote refers to January 2018 through October 2020, and Post-Measure 110 Vote refers to November 2020 through October 2022.</w:t>
      </w:r>
      <w:r w:rsidR="00C623D1" w:rsidRPr="00715078">
        <w:rPr>
          <w:rFonts w:asciiTheme="majorBidi" w:hAnsiTheme="majorBidi" w:cstheme="majorBidi"/>
          <w:b/>
          <w:bCs/>
          <w:sz w:val="24"/>
          <w:szCs w:val="24"/>
        </w:rPr>
        <w:br w:type="page"/>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21454" w:rsidRPr="00715078" w14:paraId="5490A35B" w14:textId="77777777" w:rsidTr="00184FD7">
        <w:trPr>
          <w:trHeight w:val="20"/>
        </w:trPr>
        <w:tc>
          <w:tcPr>
            <w:tcW w:w="9350" w:type="dxa"/>
            <w:gridSpan w:val="3"/>
            <w:tcBorders>
              <w:bottom w:val="single" w:sz="4" w:space="0" w:color="auto"/>
            </w:tcBorders>
          </w:tcPr>
          <w:p w14:paraId="374B0878" w14:textId="7F9A29C8" w:rsidR="00E21454" w:rsidRPr="00715078" w:rsidRDefault="00E21454" w:rsidP="00184FD7">
            <w:pPr>
              <w:jc w:val="center"/>
              <w:rPr>
                <w:rFonts w:asciiTheme="majorBidi" w:hAnsiTheme="majorBidi" w:cstheme="majorBidi"/>
                <w:b/>
                <w:bCs/>
                <w:sz w:val="24"/>
                <w:szCs w:val="24"/>
              </w:rPr>
            </w:pPr>
            <w:r w:rsidRPr="00715078">
              <w:rPr>
                <w:rFonts w:asciiTheme="majorBidi" w:hAnsiTheme="majorBidi" w:cstheme="majorBidi"/>
                <w:b/>
                <w:bCs/>
                <w:sz w:val="24"/>
                <w:szCs w:val="24"/>
              </w:rPr>
              <w:lastRenderedPageBreak/>
              <w:t xml:space="preserve">Table </w:t>
            </w:r>
            <w:r>
              <w:rPr>
                <w:rFonts w:asciiTheme="majorBidi" w:hAnsiTheme="majorBidi" w:cstheme="majorBidi"/>
                <w:b/>
                <w:bCs/>
                <w:sz w:val="24"/>
                <w:szCs w:val="24"/>
              </w:rPr>
              <w:t>2</w:t>
            </w:r>
            <w:r w:rsidRPr="00715078">
              <w:rPr>
                <w:rFonts w:asciiTheme="majorBidi" w:hAnsiTheme="majorBidi" w:cstheme="majorBidi"/>
                <w:b/>
                <w:bCs/>
                <w:sz w:val="24"/>
                <w:szCs w:val="24"/>
              </w:rPr>
              <w:t xml:space="preserve">. </w:t>
            </w:r>
            <w:r>
              <w:rPr>
                <w:rFonts w:asciiTheme="majorBidi" w:hAnsiTheme="majorBidi" w:cstheme="majorBidi"/>
                <w:b/>
                <w:bCs/>
                <w:sz w:val="24"/>
                <w:szCs w:val="24"/>
              </w:rPr>
              <w:t>Summary Statistics of Matching Variables</w:t>
            </w:r>
          </w:p>
        </w:tc>
      </w:tr>
      <w:tr w:rsidR="00E21454" w:rsidRPr="00715078" w14:paraId="3171DAE9" w14:textId="77777777" w:rsidTr="00184FD7">
        <w:trPr>
          <w:trHeight w:val="20"/>
        </w:trPr>
        <w:tc>
          <w:tcPr>
            <w:tcW w:w="3116" w:type="dxa"/>
            <w:tcBorders>
              <w:top w:val="single" w:sz="4" w:space="0" w:color="auto"/>
              <w:bottom w:val="single" w:sz="4" w:space="0" w:color="auto"/>
              <w:right w:val="single" w:sz="4" w:space="0" w:color="auto"/>
            </w:tcBorders>
            <w:hideMark/>
          </w:tcPr>
          <w:p w14:paraId="4BD7CA00" w14:textId="67099EBA" w:rsidR="00E21454" w:rsidRPr="00EC4270" w:rsidRDefault="00E21454" w:rsidP="00184FD7">
            <w:pPr>
              <w:tabs>
                <w:tab w:val="left" w:pos="1980"/>
              </w:tabs>
              <w:jc w:val="right"/>
              <w:rPr>
                <w:rFonts w:asciiTheme="majorBidi" w:hAnsiTheme="majorBidi" w:cstheme="majorBidi"/>
                <w:i/>
                <w:iCs/>
                <w:sz w:val="24"/>
                <w:szCs w:val="24"/>
              </w:rPr>
            </w:pPr>
            <w:r>
              <w:rPr>
                <w:rFonts w:asciiTheme="majorBidi" w:hAnsiTheme="majorBidi" w:cstheme="majorBidi"/>
                <w:i/>
                <w:iCs/>
                <w:sz w:val="24"/>
                <w:szCs w:val="24"/>
              </w:rPr>
              <w:t>Variable</w:t>
            </w:r>
          </w:p>
        </w:tc>
        <w:tc>
          <w:tcPr>
            <w:tcW w:w="3117" w:type="dxa"/>
            <w:tcBorders>
              <w:top w:val="single" w:sz="4" w:space="0" w:color="auto"/>
              <w:left w:val="single" w:sz="4" w:space="0" w:color="auto"/>
              <w:bottom w:val="single" w:sz="4" w:space="0" w:color="auto"/>
              <w:right w:val="single" w:sz="4" w:space="0" w:color="auto"/>
            </w:tcBorders>
            <w:hideMark/>
          </w:tcPr>
          <w:p w14:paraId="306D4A14" w14:textId="2BBA46A9" w:rsidR="00E21454" w:rsidRPr="00EC4270" w:rsidRDefault="00E21454" w:rsidP="00184FD7">
            <w:pPr>
              <w:jc w:val="center"/>
              <w:rPr>
                <w:rFonts w:asciiTheme="majorBidi" w:hAnsiTheme="majorBidi" w:cstheme="majorBidi"/>
                <w:i/>
                <w:iCs/>
                <w:sz w:val="24"/>
                <w:szCs w:val="24"/>
              </w:rPr>
            </w:pPr>
            <w:r>
              <w:rPr>
                <w:rFonts w:asciiTheme="majorBidi" w:hAnsiTheme="majorBidi" w:cstheme="majorBidi"/>
                <w:i/>
                <w:iCs/>
                <w:sz w:val="24"/>
                <w:szCs w:val="24"/>
              </w:rPr>
              <w:t>Oregon</w:t>
            </w:r>
          </w:p>
        </w:tc>
        <w:tc>
          <w:tcPr>
            <w:tcW w:w="3117" w:type="dxa"/>
            <w:tcBorders>
              <w:top w:val="single" w:sz="4" w:space="0" w:color="auto"/>
              <w:left w:val="single" w:sz="4" w:space="0" w:color="auto"/>
              <w:bottom w:val="single" w:sz="4" w:space="0" w:color="auto"/>
            </w:tcBorders>
            <w:hideMark/>
          </w:tcPr>
          <w:p w14:paraId="6BBFA034" w14:textId="3B34F76C" w:rsidR="00E21454" w:rsidRPr="00EC4270" w:rsidRDefault="00E21454" w:rsidP="00184FD7">
            <w:pPr>
              <w:rPr>
                <w:rFonts w:asciiTheme="majorBidi" w:hAnsiTheme="majorBidi" w:cstheme="majorBidi"/>
                <w:i/>
                <w:iCs/>
                <w:sz w:val="24"/>
                <w:szCs w:val="24"/>
              </w:rPr>
            </w:pPr>
            <w:r>
              <w:rPr>
                <w:rFonts w:asciiTheme="majorBidi" w:hAnsiTheme="majorBidi" w:cstheme="majorBidi"/>
                <w:i/>
                <w:iCs/>
                <w:sz w:val="24"/>
                <w:szCs w:val="24"/>
              </w:rPr>
              <w:t>Donor States (Mean)</w:t>
            </w:r>
          </w:p>
        </w:tc>
      </w:tr>
      <w:tr w:rsidR="00E21454" w:rsidRPr="00715078" w14:paraId="6E883D88" w14:textId="77777777" w:rsidTr="00184FD7">
        <w:trPr>
          <w:trHeight w:val="20"/>
        </w:trPr>
        <w:tc>
          <w:tcPr>
            <w:tcW w:w="3116" w:type="dxa"/>
            <w:tcBorders>
              <w:top w:val="single" w:sz="4" w:space="0" w:color="auto"/>
              <w:right w:val="single" w:sz="4" w:space="0" w:color="auto"/>
            </w:tcBorders>
            <w:hideMark/>
          </w:tcPr>
          <w:p w14:paraId="77E7E566" w14:textId="37877D79" w:rsidR="00E21454" w:rsidRPr="00C63D4B" w:rsidRDefault="00E21454" w:rsidP="00184FD7">
            <w:pPr>
              <w:jc w:val="right"/>
              <w:rPr>
                <w:rFonts w:asciiTheme="majorBidi" w:hAnsiTheme="majorBidi" w:cstheme="majorBidi"/>
                <w:sz w:val="24"/>
                <w:szCs w:val="24"/>
              </w:rPr>
            </w:pPr>
            <w:r>
              <w:rPr>
                <w:rFonts w:asciiTheme="majorBidi" w:hAnsiTheme="majorBidi" w:cstheme="majorBidi"/>
                <w:sz w:val="24"/>
                <w:szCs w:val="24"/>
              </w:rPr>
              <w:t>Unemployment Rate</w:t>
            </w:r>
          </w:p>
        </w:tc>
        <w:tc>
          <w:tcPr>
            <w:tcW w:w="3117" w:type="dxa"/>
            <w:tcBorders>
              <w:top w:val="single" w:sz="4" w:space="0" w:color="auto"/>
              <w:left w:val="single" w:sz="4" w:space="0" w:color="auto"/>
              <w:right w:val="single" w:sz="4" w:space="0" w:color="auto"/>
            </w:tcBorders>
            <w:hideMark/>
          </w:tcPr>
          <w:p w14:paraId="16586235" w14:textId="0B1C0629" w:rsidR="00E21454" w:rsidRPr="00C63D4B" w:rsidRDefault="00F65A92" w:rsidP="00184FD7">
            <w:pPr>
              <w:jc w:val="center"/>
              <w:rPr>
                <w:rFonts w:asciiTheme="majorBidi" w:hAnsiTheme="majorBidi" w:cstheme="majorBidi"/>
                <w:sz w:val="24"/>
                <w:szCs w:val="24"/>
              </w:rPr>
            </w:pPr>
            <w:r>
              <w:rPr>
                <w:rFonts w:asciiTheme="majorBidi" w:hAnsiTheme="majorBidi" w:cstheme="majorBidi"/>
                <w:sz w:val="24"/>
                <w:szCs w:val="24"/>
              </w:rPr>
              <w:t>7.6%</w:t>
            </w:r>
          </w:p>
        </w:tc>
        <w:tc>
          <w:tcPr>
            <w:tcW w:w="3117" w:type="dxa"/>
            <w:tcBorders>
              <w:top w:val="single" w:sz="4" w:space="0" w:color="auto"/>
              <w:left w:val="single" w:sz="4" w:space="0" w:color="auto"/>
            </w:tcBorders>
            <w:hideMark/>
          </w:tcPr>
          <w:p w14:paraId="57BC5150" w14:textId="2681607F" w:rsidR="00E21454" w:rsidRPr="00C63D4B" w:rsidRDefault="00F65A92" w:rsidP="00184FD7">
            <w:pPr>
              <w:rPr>
                <w:rFonts w:asciiTheme="majorBidi" w:hAnsiTheme="majorBidi" w:cstheme="majorBidi"/>
                <w:sz w:val="24"/>
                <w:szCs w:val="24"/>
              </w:rPr>
            </w:pPr>
            <w:r>
              <w:rPr>
                <w:rFonts w:asciiTheme="majorBidi" w:hAnsiTheme="majorBidi" w:cstheme="majorBidi"/>
                <w:sz w:val="24"/>
                <w:szCs w:val="24"/>
              </w:rPr>
              <w:t>7.37%</w:t>
            </w:r>
          </w:p>
        </w:tc>
      </w:tr>
      <w:tr w:rsidR="00E21454" w:rsidRPr="00715078" w14:paraId="042776B0" w14:textId="77777777" w:rsidTr="00184FD7">
        <w:trPr>
          <w:trHeight w:val="20"/>
        </w:trPr>
        <w:tc>
          <w:tcPr>
            <w:tcW w:w="3116" w:type="dxa"/>
            <w:tcBorders>
              <w:right w:val="single" w:sz="4" w:space="0" w:color="auto"/>
            </w:tcBorders>
            <w:hideMark/>
          </w:tcPr>
          <w:p w14:paraId="7BAD7194" w14:textId="0E25886D" w:rsidR="00E21454" w:rsidRPr="00C63D4B" w:rsidRDefault="00F65A92" w:rsidP="00184FD7">
            <w:pPr>
              <w:jc w:val="right"/>
              <w:rPr>
                <w:rFonts w:asciiTheme="majorBidi" w:hAnsiTheme="majorBidi" w:cstheme="majorBidi"/>
                <w:sz w:val="24"/>
                <w:szCs w:val="24"/>
              </w:rPr>
            </w:pPr>
            <w:r w:rsidRPr="00F65A92">
              <w:rPr>
                <w:rFonts w:asciiTheme="majorBidi" w:hAnsiTheme="majorBidi" w:cstheme="majorBidi"/>
                <w:sz w:val="24"/>
                <w:szCs w:val="24"/>
              </w:rPr>
              <w:t xml:space="preserve">  </w:t>
            </w:r>
            <w:proofErr w:type="gramStart"/>
            <w:r w:rsidRPr="00F65A92">
              <w:rPr>
                <w:rFonts w:asciiTheme="majorBidi" w:hAnsiTheme="majorBidi" w:cstheme="majorBidi"/>
                <w:sz w:val="24"/>
                <w:szCs w:val="24"/>
              </w:rPr>
              <w:t>Is</w:t>
            </w:r>
            <w:proofErr w:type="gramEnd"/>
            <w:r w:rsidRPr="00F65A92">
              <w:rPr>
                <w:rFonts w:asciiTheme="majorBidi" w:hAnsiTheme="majorBidi" w:cstheme="majorBidi"/>
                <w:sz w:val="24"/>
                <w:szCs w:val="24"/>
              </w:rPr>
              <w:t xml:space="preserve"> substance use disorder grounds for involuntary commitment under state law?</w:t>
            </w:r>
          </w:p>
        </w:tc>
        <w:tc>
          <w:tcPr>
            <w:tcW w:w="3117" w:type="dxa"/>
            <w:tcBorders>
              <w:left w:val="single" w:sz="4" w:space="0" w:color="auto"/>
              <w:right w:val="single" w:sz="4" w:space="0" w:color="auto"/>
            </w:tcBorders>
          </w:tcPr>
          <w:p w14:paraId="700E8DA2" w14:textId="77777777" w:rsidR="00F65A92" w:rsidRDefault="00F65A92" w:rsidP="00184FD7">
            <w:pPr>
              <w:jc w:val="center"/>
              <w:rPr>
                <w:rFonts w:asciiTheme="majorBidi" w:hAnsiTheme="majorBidi" w:cstheme="majorBidi"/>
                <w:sz w:val="24"/>
                <w:szCs w:val="24"/>
              </w:rPr>
            </w:pPr>
          </w:p>
          <w:p w14:paraId="47EB3F9D" w14:textId="23618A97" w:rsidR="00E21454" w:rsidRPr="00C63D4B" w:rsidRDefault="00F65A92" w:rsidP="00184FD7">
            <w:pPr>
              <w:jc w:val="center"/>
              <w:rPr>
                <w:rFonts w:asciiTheme="majorBidi" w:hAnsiTheme="majorBidi" w:cstheme="majorBidi"/>
                <w:sz w:val="24"/>
                <w:szCs w:val="24"/>
              </w:rPr>
            </w:pPr>
            <w:r>
              <w:rPr>
                <w:rFonts w:asciiTheme="majorBidi" w:hAnsiTheme="majorBidi" w:cstheme="majorBidi"/>
                <w:sz w:val="24"/>
                <w:szCs w:val="24"/>
              </w:rPr>
              <w:t>0</w:t>
            </w:r>
          </w:p>
        </w:tc>
        <w:tc>
          <w:tcPr>
            <w:tcW w:w="3117" w:type="dxa"/>
            <w:tcBorders>
              <w:left w:val="single" w:sz="4" w:space="0" w:color="auto"/>
            </w:tcBorders>
          </w:tcPr>
          <w:p w14:paraId="21FA4259" w14:textId="77777777" w:rsidR="00F65A92" w:rsidRDefault="00F65A92" w:rsidP="00184FD7">
            <w:pPr>
              <w:rPr>
                <w:rFonts w:asciiTheme="majorBidi" w:hAnsiTheme="majorBidi" w:cstheme="majorBidi"/>
                <w:sz w:val="24"/>
                <w:szCs w:val="24"/>
              </w:rPr>
            </w:pPr>
          </w:p>
          <w:p w14:paraId="26F445D3" w14:textId="29EDC70F" w:rsidR="00E21454" w:rsidRPr="00C63D4B" w:rsidRDefault="00E21454" w:rsidP="00184FD7">
            <w:pPr>
              <w:rPr>
                <w:rFonts w:asciiTheme="majorBidi" w:hAnsiTheme="majorBidi" w:cstheme="majorBidi"/>
                <w:sz w:val="24"/>
                <w:szCs w:val="24"/>
              </w:rPr>
            </w:pPr>
            <w:r w:rsidRPr="00C63D4B">
              <w:rPr>
                <w:rFonts w:asciiTheme="majorBidi" w:hAnsiTheme="majorBidi" w:cstheme="majorBidi"/>
                <w:sz w:val="24"/>
                <w:szCs w:val="24"/>
              </w:rPr>
              <w:t>0.</w:t>
            </w:r>
            <w:r w:rsidR="00F65A92">
              <w:rPr>
                <w:rFonts w:asciiTheme="majorBidi" w:hAnsiTheme="majorBidi" w:cstheme="majorBidi"/>
                <w:sz w:val="24"/>
                <w:szCs w:val="24"/>
              </w:rPr>
              <w:t>70</w:t>
            </w:r>
          </w:p>
        </w:tc>
      </w:tr>
      <w:tr w:rsidR="00E21454" w:rsidRPr="00715078" w14:paraId="2BFFD6B1" w14:textId="77777777" w:rsidTr="00184FD7">
        <w:trPr>
          <w:trHeight w:val="20"/>
        </w:trPr>
        <w:tc>
          <w:tcPr>
            <w:tcW w:w="3116" w:type="dxa"/>
            <w:tcBorders>
              <w:right w:val="single" w:sz="4" w:space="0" w:color="auto"/>
            </w:tcBorders>
            <w:hideMark/>
          </w:tcPr>
          <w:p w14:paraId="7900F8E7" w14:textId="1FC3D9C0" w:rsidR="00E21454" w:rsidRPr="00C63D4B" w:rsidRDefault="00F65A92" w:rsidP="00184FD7">
            <w:pPr>
              <w:jc w:val="right"/>
              <w:rPr>
                <w:rFonts w:asciiTheme="majorBidi" w:hAnsiTheme="majorBidi" w:cstheme="majorBidi"/>
                <w:sz w:val="24"/>
                <w:szCs w:val="24"/>
              </w:rPr>
            </w:pPr>
            <w:r w:rsidRPr="00F65A92">
              <w:rPr>
                <w:rFonts w:asciiTheme="majorBidi" w:hAnsiTheme="majorBidi" w:cstheme="majorBidi"/>
                <w:sz w:val="24"/>
                <w:szCs w:val="24"/>
              </w:rPr>
              <w:t>Do prescribers have immunity from civil liability for prescribing, dispensing or distributing naloxone to a layperson?</w:t>
            </w:r>
          </w:p>
        </w:tc>
        <w:tc>
          <w:tcPr>
            <w:tcW w:w="3117" w:type="dxa"/>
            <w:tcBorders>
              <w:left w:val="single" w:sz="4" w:space="0" w:color="auto"/>
              <w:right w:val="single" w:sz="4" w:space="0" w:color="auto"/>
            </w:tcBorders>
          </w:tcPr>
          <w:p w14:paraId="6881DAAE" w14:textId="77777777" w:rsidR="00F65A92" w:rsidRDefault="00F65A92" w:rsidP="00184FD7">
            <w:pPr>
              <w:jc w:val="center"/>
              <w:rPr>
                <w:rFonts w:asciiTheme="majorBidi" w:hAnsiTheme="majorBidi" w:cstheme="majorBidi"/>
                <w:sz w:val="24"/>
                <w:szCs w:val="24"/>
              </w:rPr>
            </w:pPr>
          </w:p>
          <w:p w14:paraId="3559B440" w14:textId="795C6454" w:rsidR="00E21454" w:rsidRPr="00C63D4B" w:rsidRDefault="00F65A92" w:rsidP="00184FD7">
            <w:pPr>
              <w:jc w:val="center"/>
              <w:rPr>
                <w:rFonts w:asciiTheme="majorBidi" w:hAnsiTheme="majorBidi" w:cstheme="majorBidi"/>
                <w:sz w:val="24"/>
                <w:szCs w:val="24"/>
              </w:rPr>
            </w:pPr>
            <w:r>
              <w:rPr>
                <w:rFonts w:asciiTheme="majorBidi" w:hAnsiTheme="majorBidi" w:cstheme="majorBidi"/>
                <w:sz w:val="24"/>
                <w:szCs w:val="24"/>
              </w:rPr>
              <w:t>0</w:t>
            </w:r>
          </w:p>
        </w:tc>
        <w:tc>
          <w:tcPr>
            <w:tcW w:w="3117" w:type="dxa"/>
            <w:tcBorders>
              <w:left w:val="single" w:sz="4" w:space="0" w:color="auto"/>
            </w:tcBorders>
          </w:tcPr>
          <w:p w14:paraId="4FE89D77" w14:textId="77777777" w:rsidR="00F65A92" w:rsidRDefault="00F65A92" w:rsidP="00184FD7">
            <w:pPr>
              <w:rPr>
                <w:rFonts w:asciiTheme="majorBidi" w:hAnsiTheme="majorBidi" w:cstheme="majorBidi"/>
                <w:sz w:val="24"/>
                <w:szCs w:val="24"/>
              </w:rPr>
            </w:pPr>
          </w:p>
          <w:p w14:paraId="4D64B851" w14:textId="0F732895" w:rsidR="00E21454" w:rsidRPr="00C63D4B" w:rsidRDefault="00E21454" w:rsidP="00184FD7">
            <w:pPr>
              <w:rPr>
                <w:rFonts w:asciiTheme="majorBidi" w:hAnsiTheme="majorBidi" w:cstheme="majorBidi"/>
                <w:sz w:val="24"/>
                <w:szCs w:val="24"/>
              </w:rPr>
            </w:pPr>
            <w:r w:rsidRPr="00C63D4B">
              <w:rPr>
                <w:rFonts w:asciiTheme="majorBidi" w:hAnsiTheme="majorBidi" w:cstheme="majorBidi"/>
                <w:sz w:val="24"/>
                <w:szCs w:val="24"/>
              </w:rPr>
              <w:t>0.</w:t>
            </w:r>
            <w:r w:rsidR="00F65A92">
              <w:rPr>
                <w:rFonts w:asciiTheme="majorBidi" w:hAnsiTheme="majorBidi" w:cstheme="majorBidi"/>
                <w:sz w:val="24"/>
                <w:szCs w:val="24"/>
              </w:rPr>
              <w:t>86</w:t>
            </w:r>
          </w:p>
        </w:tc>
      </w:tr>
      <w:tr w:rsidR="00E21454" w:rsidRPr="00715078" w14:paraId="236FC33A" w14:textId="77777777" w:rsidTr="00184FD7">
        <w:trPr>
          <w:trHeight w:val="20"/>
        </w:trPr>
        <w:tc>
          <w:tcPr>
            <w:tcW w:w="3116" w:type="dxa"/>
            <w:tcBorders>
              <w:right w:val="single" w:sz="4" w:space="0" w:color="auto"/>
            </w:tcBorders>
            <w:hideMark/>
          </w:tcPr>
          <w:p w14:paraId="10DC00EC" w14:textId="62263640" w:rsidR="00E21454" w:rsidRPr="00C63D4B" w:rsidRDefault="00F65A92" w:rsidP="00184FD7">
            <w:pPr>
              <w:jc w:val="right"/>
              <w:rPr>
                <w:rFonts w:asciiTheme="majorBidi" w:hAnsiTheme="majorBidi" w:cstheme="majorBidi"/>
                <w:sz w:val="24"/>
                <w:szCs w:val="24"/>
              </w:rPr>
            </w:pPr>
            <w:r w:rsidRPr="00F65A92">
              <w:rPr>
                <w:rFonts w:asciiTheme="majorBidi" w:hAnsiTheme="majorBidi" w:cstheme="majorBidi"/>
                <w:sz w:val="24"/>
                <w:szCs w:val="24"/>
              </w:rPr>
              <w:t>Do dispensers have immunity from criminal prosecution for prescribing, dispensing or distributing naloxone to a layperson?</w:t>
            </w:r>
          </w:p>
        </w:tc>
        <w:tc>
          <w:tcPr>
            <w:tcW w:w="3117" w:type="dxa"/>
            <w:tcBorders>
              <w:left w:val="single" w:sz="4" w:space="0" w:color="auto"/>
              <w:right w:val="single" w:sz="4" w:space="0" w:color="auto"/>
            </w:tcBorders>
          </w:tcPr>
          <w:p w14:paraId="568E0A9C" w14:textId="77777777" w:rsidR="00F65A92" w:rsidRDefault="00F65A92" w:rsidP="00184FD7">
            <w:pPr>
              <w:jc w:val="center"/>
              <w:rPr>
                <w:rFonts w:asciiTheme="majorBidi" w:hAnsiTheme="majorBidi" w:cstheme="majorBidi"/>
                <w:sz w:val="24"/>
                <w:szCs w:val="24"/>
              </w:rPr>
            </w:pPr>
          </w:p>
          <w:p w14:paraId="631C0F2F" w14:textId="58AF4244" w:rsidR="00E21454" w:rsidRPr="00C63D4B" w:rsidRDefault="00F65A92" w:rsidP="00184FD7">
            <w:pPr>
              <w:jc w:val="center"/>
              <w:rPr>
                <w:rFonts w:asciiTheme="majorBidi" w:hAnsiTheme="majorBidi" w:cstheme="majorBidi"/>
                <w:sz w:val="24"/>
                <w:szCs w:val="24"/>
              </w:rPr>
            </w:pPr>
            <w:r>
              <w:rPr>
                <w:rFonts w:asciiTheme="majorBidi" w:hAnsiTheme="majorBidi" w:cstheme="majorBidi"/>
                <w:sz w:val="24"/>
                <w:szCs w:val="24"/>
              </w:rPr>
              <w:t>0</w:t>
            </w:r>
          </w:p>
        </w:tc>
        <w:tc>
          <w:tcPr>
            <w:tcW w:w="3117" w:type="dxa"/>
            <w:tcBorders>
              <w:left w:val="single" w:sz="4" w:space="0" w:color="auto"/>
            </w:tcBorders>
          </w:tcPr>
          <w:p w14:paraId="152A3655" w14:textId="77777777" w:rsidR="00F65A92" w:rsidRDefault="00F65A92" w:rsidP="00184FD7">
            <w:pPr>
              <w:rPr>
                <w:rFonts w:asciiTheme="majorBidi" w:hAnsiTheme="majorBidi" w:cstheme="majorBidi"/>
                <w:sz w:val="24"/>
                <w:szCs w:val="24"/>
              </w:rPr>
            </w:pPr>
          </w:p>
          <w:p w14:paraId="467F79C8" w14:textId="1401691D" w:rsidR="00E21454" w:rsidRPr="00C63D4B" w:rsidRDefault="00E21454" w:rsidP="00184FD7">
            <w:pPr>
              <w:rPr>
                <w:rFonts w:asciiTheme="majorBidi" w:hAnsiTheme="majorBidi" w:cstheme="majorBidi"/>
                <w:sz w:val="24"/>
                <w:szCs w:val="24"/>
              </w:rPr>
            </w:pPr>
            <w:r w:rsidRPr="00C63D4B">
              <w:rPr>
                <w:rFonts w:asciiTheme="majorBidi" w:hAnsiTheme="majorBidi" w:cstheme="majorBidi"/>
                <w:sz w:val="24"/>
                <w:szCs w:val="24"/>
              </w:rPr>
              <w:t>0.</w:t>
            </w:r>
            <w:r w:rsidR="00F65A92">
              <w:rPr>
                <w:rFonts w:asciiTheme="majorBidi" w:hAnsiTheme="majorBidi" w:cstheme="majorBidi"/>
                <w:sz w:val="24"/>
                <w:szCs w:val="24"/>
              </w:rPr>
              <w:t>80</w:t>
            </w:r>
          </w:p>
        </w:tc>
      </w:tr>
      <w:tr w:rsidR="00E21454" w:rsidRPr="00715078" w14:paraId="256A526D" w14:textId="77777777" w:rsidTr="00184FD7">
        <w:trPr>
          <w:trHeight w:val="20"/>
        </w:trPr>
        <w:tc>
          <w:tcPr>
            <w:tcW w:w="3116" w:type="dxa"/>
            <w:tcBorders>
              <w:right w:val="single" w:sz="4" w:space="0" w:color="auto"/>
            </w:tcBorders>
            <w:hideMark/>
          </w:tcPr>
          <w:p w14:paraId="11A14C2F" w14:textId="5852D7AF" w:rsidR="00E21454" w:rsidRPr="00C63D4B" w:rsidRDefault="00F65A92" w:rsidP="00184FD7">
            <w:pPr>
              <w:jc w:val="right"/>
              <w:rPr>
                <w:rFonts w:asciiTheme="majorBidi" w:hAnsiTheme="majorBidi" w:cstheme="majorBidi"/>
                <w:sz w:val="24"/>
                <w:szCs w:val="24"/>
              </w:rPr>
            </w:pPr>
            <w:r w:rsidRPr="00F65A92">
              <w:rPr>
                <w:rFonts w:asciiTheme="majorBidi" w:hAnsiTheme="majorBidi" w:cstheme="majorBidi"/>
                <w:sz w:val="24"/>
                <w:szCs w:val="24"/>
              </w:rPr>
              <w:t>Does the jurisdiction have a drug overdose Good Samaritan Law?</w:t>
            </w:r>
          </w:p>
        </w:tc>
        <w:tc>
          <w:tcPr>
            <w:tcW w:w="3117" w:type="dxa"/>
            <w:tcBorders>
              <w:left w:val="single" w:sz="4" w:space="0" w:color="auto"/>
              <w:right w:val="single" w:sz="4" w:space="0" w:color="auto"/>
            </w:tcBorders>
          </w:tcPr>
          <w:p w14:paraId="23AD3E28" w14:textId="77777777" w:rsidR="00F65A92" w:rsidRDefault="00F65A92" w:rsidP="00184FD7">
            <w:pPr>
              <w:jc w:val="center"/>
              <w:rPr>
                <w:rFonts w:asciiTheme="majorBidi" w:hAnsiTheme="majorBidi" w:cstheme="majorBidi"/>
                <w:sz w:val="24"/>
                <w:szCs w:val="24"/>
              </w:rPr>
            </w:pPr>
          </w:p>
          <w:p w14:paraId="73F45ED1" w14:textId="2239EFB2" w:rsidR="00E21454" w:rsidRPr="00C63D4B" w:rsidRDefault="00F65A92" w:rsidP="00184FD7">
            <w:pPr>
              <w:jc w:val="center"/>
              <w:rPr>
                <w:rFonts w:asciiTheme="majorBidi" w:hAnsiTheme="majorBidi" w:cstheme="majorBidi"/>
                <w:sz w:val="24"/>
                <w:szCs w:val="24"/>
              </w:rPr>
            </w:pPr>
            <w:r>
              <w:rPr>
                <w:rFonts w:asciiTheme="majorBidi" w:hAnsiTheme="majorBidi" w:cstheme="majorBidi"/>
                <w:sz w:val="24"/>
                <w:szCs w:val="24"/>
              </w:rPr>
              <w:t>1</w:t>
            </w:r>
          </w:p>
        </w:tc>
        <w:tc>
          <w:tcPr>
            <w:tcW w:w="3117" w:type="dxa"/>
            <w:tcBorders>
              <w:left w:val="single" w:sz="4" w:space="0" w:color="auto"/>
            </w:tcBorders>
          </w:tcPr>
          <w:p w14:paraId="65DE1611" w14:textId="77777777" w:rsidR="00F65A92" w:rsidRDefault="00F65A92" w:rsidP="00184FD7">
            <w:pPr>
              <w:rPr>
                <w:rFonts w:asciiTheme="majorBidi" w:hAnsiTheme="majorBidi" w:cstheme="majorBidi"/>
                <w:sz w:val="24"/>
                <w:szCs w:val="24"/>
              </w:rPr>
            </w:pPr>
          </w:p>
          <w:p w14:paraId="00E67D87" w14:textId="48364ABD" w:rsidR="00E21454" w:rsidRPr="00C63D4B" w:rsidRDefault="00F65A92" w:rsidP="00184FD7">
            <w:pPr>
              <w:rPr>
                <w:rFonts w:asciiTheme="majorBidi" w:hAnsiTheme="majorBidi" w:cstheme="majorBidi"/>
                <w:sz w:val="24"/>
                <w:szCs w:val="24"/>
              </w:rPr>
            </w:pPr>
            <w:r>
              <w:rPr>
                <w:rFonts w:asciiTheme="majorBidi" w:hAnsiTheme="majorBidi" w:cstheme="majorBidi"/>
                <w:sz w:val="24"/>
                <w:szCs w:val="24"/>
              </w:rPr>
              <w:t>0.94</w:t>
            </w:r>
          </w:p>
        </w:tc>
      </w:tr>
      <w:tr w:rsidR="00E21454" w:rsidRPr="00715078" w14:paraId="7CFFDE35" w14:textId="77777777" w:rsidTr="00184FD7">
        <w:trPr>
          <w:trHeight w:val="20"/>
        </w:trPr>
        <w:tc>
          <w:tcPr>
            <w:tcW w:w="3116" w:type="dxa"/>
            <w:tcBorders>
              <w:right w:val="single" w:sz="4" w:space="0" w:color="auto"/>
            </w:tcBorders>
            <w:hideMark/>
          </w:tcPr>
          <w:p w14:paraId="7AE8E3C8" w14:textId="78F9929A" w:rsidR="00E21454" w:rsidRPr="00C63D4B" w:rsidRDefault="00F65A92" w:rsidP="00184FD7">
            <w:pPr>
              <w:jc w:val="right"/>
              <w:rPr>
                <w:rFonts w:asciiTheme="majorBidi" w:hAnsiTheme="majorBidi" w:cstheme="majorBidi"/>
                <w:sz w:val="24"/>
                <w:szCs w:val="24"/>
              </w:rPr>
            </w:pPr>
            <w:r w:rsidRPr="00F65A92">
              <w:rPr>
                <w:rFonts w:asciiTheme="majorBidi" w:hAnsiTheme="majorBidi" w:cstheme="majorBidi"/>
                <w:sz w:val="24"/>
                <w:szCs w:val="24"/>
              </w:rPr>
              <w:t>Are SSPs operating in the jurisdiction?</w:t>
            </w:r>
          </w:p>
        </w:tc>
        <w:tc>
          <w:tcPr>
            <w:tcW w:w="3117" w:type="dxa"/>
            <w:tcBorders>
              <w:left w:val="single" w:sz="4" w:space="0" w:color="auto"/>
              <w:right w:val="single" w:sz="4" w:space="0" w:color="auto"/>
            </w:tcBorders>
          </w:tcPr>
          <w:p w14:paraId="5377603C" w14:textId="375C8ADE" w:rsidR="00E21454" w:rsidRPr="00C63D4B" w:rsidRDefault="00F65A92" w:rsidP="00184FD7">
            <w:pPr>
              <w:jc w:val="center"/>
              <w:rPr>
                <w:rFonts w:asciiTheme="majorBidi" w:hAnsiTheme="majorBidi" w:cstheme="majorBidi"/>
                <w:sz w:val="24"/>
                <w:szCs w:val="24"/>
              </w:rPr>
            </w:pPr>
            <w:r>
              <w:rPr>
                <w:rFonts w:asciiTheme="majorBidi" w:hAnsiTheme="majorBidi" w:cstheme="majorBidi"/>
                <w:sz w:val="24"/>
                <w:szCs w:val="24"/>
              </w:rPr>
              <w:t>1</w:t>
            </w:r>
          </w:p>
        </w:tc>
        <w:tc>
          <w:tcPr>
            <w:tcW w:w="3117" w:type="dxa"/>
            <w:tcBorders>
              <w:left w:val="single" w:sz="4" w:space="0" w:color="auto"/>
            </w:tcBorders>
          </w:tcPr>
          <w:p w14:paraId="25B3C7AC" w14:textId="2DAC37E0" w:rsidR="00E21454" w:rsidRPr="00C63D4B" w:rsidRDefault="00F65A92" w:rsidP="00184FD7">
            <w:pPr>
              <w:rPr>
                <w:rFonts w:asciiTheme="majorBidi" w:hAnsiTheme="majorBidi" w:cstheme="majorBidi"/>
                <w:sz w:val="24"/>
                <w:szCs w:val="24"/>
              </w:rPr>
            </w:pPr>
            <w:r>
              <w:rPr>
                <w:rFonts w:asciiTheme="majorBidi" w:hAnsiTheme="majorBidi" w:cstheme="majorBidi"/>
                <w:sz w:val="24"/>
                <w:szCs w:val="24"/>
              </w:rPr>
              <w:t>0.86</w:t>
            </w:r>
          </w:p>
        </w:tc>
      </w:tr>
      <w:tr w:rsidR="00E21454" w:rsidRPr="00715078" w14:paraId="6727E2A5" w14:textId="77777777" w:rsidTr="00184FD7">
        <w:trPr>
          <w:trHeight w:val="20"/>
        </w:trPr>
        <w:tc>
          <w:tcPr>
            <w:tcW w:w="3116" w:type="dxa"/>
            <w:tcBorders>
              <w:right w:val="single" w:sz="4" w:space="0" w:color="auto"/>
            </w:tcBorders>
            <w:hideMark/>
          </w:tcPr>
          <w:p w14:paraId="7EFC9774" w14:textId="192EC248" w:rsidR="00E21454" w:rsidRPr="00C63D4B" w:rsidRDefault="00F65A92" w:rsidP="00184FD7">
            <w:pPr>
              <w:jc w:val="right"/>
              <w:rPr>
                <w:rFonts w:asciiTheme="majorBidi" w:hAnsiTheme="majorBidi" w:cstheme="majorBidi"/>
                <w:sz w:val="24"/>
                <w:szCs w:val="24"/>
              </w:rPr>
            </w:pPr>
            <w:r>
              <w:rPr>
                <w:rFonts w:asciiTheme="majorBidi" w:hAnsiTheme="majorBidi" w:cstheme="majorBidi"/>
                <w:sz w:val="24"/>
                <w:szCs w:val="24"/>
              </w:rPr>
              <w:t>Per Capita Personal Income</w:t>
            </w:r>
          </w:p>
        </w:tc>
        <w:tc>
          <w:tcPr>
            <w:tcW w:w="3117" w:type="dxa"/>
            <w:tcBorders>
              <w:left w:val="single" w:sz="4" w:space="0" w:color="auto"/>
              <w:right w:val="single" w:sz="4" w:space="0" w:color="auto"/>
            </w:tcBorders>
          </w:tcPr>
          <w:p w14:paraId="3B4B3540" w14:textId="43A4C36F" w:rsidR="00E21454" w:rsidRPr="00C63D4B" w:rsidRDefault="00F65A92" w:rsidP="00184FD7">
            <w:pPr>
              <w:jc w:val="center"/>
              <w:rPr>
                <w:rFonts w:asciiTheme="majorBidi" w:hAnsiTheme="majorBidi" w:cstheme="majorBidi"/>
                <w:sz w:val="24"/>
                <w:szCs w:val="24"/>
              </w:rPr>
            </w:pPr>
            <w:r>
              <w:rPr>
                <w:rFonts w:asciiTheme="majorBidi" w:hAnsiTheme="majorBidi" w:cstheme="majorBidi"/>
                <w:sz w:val="24"/>
                <w:szCs w:val="24"/>
              </w:rPr>
              <w:t>56962</w:t>
            </w:r>
          </w:p>
        </w:tc>
        <w:tc>
          <w:tcPr>
            <w:tcW w:w="3117" w:type="dxa"/>
            <w:tcBorders>
              <w:left w:val="single" w:sz="4" w:space="0" w:color="auto"/>
            </w:tcBorders>
          </w:tcPr>
          <w:p w14:paraId="4F46B8AF" w14:textId="5C6902FE" w:rsidR="00E21454" w:rsidRPr="00C63D4B" w:rsidRDefault="00F65A92" w:rsidP="00184FD7">
            <w:pPr>
              <w:rPr>
                <w:rFonts w:asciiTheme="majorBidi" w:hAnsiTheme="majorBidi" w:cstheme="majorBidi"/>
                <w:sz w:val="24"/>
                <w:szCs w:val="24"/>
              </w:rPr>
            </w:pPr>
            <w:r>
              <w:rPr>
                <w:rFonts w:asciiTheme="majorBidi" w:hAnsiTheme="majorBidi" w:cstheme="majorBidi"/>
                <w:sz w:val="24"/>
                <w:szCs w:val="24"/>
              </w:rPr>
              <w:t>58153</w:t>
            </w:r>
          </w:p>
        </w:tc>
      </w:tr>
      <w:tr w:rsidR="00E21454" w:rsidRPr="00715078" w14:paraId="7260C673" w14:textId="77777777" w:rsidTr="00184FD7">
        <w:trPr>
          <w:trHeight w:val="20"/>
        </w:trPr>
        <w:tc>
          <w:tcPr>
            <w:tcW w:w="3116" w:type="dxa"/>
            <w:tcBorders>
              <w:right w:val="single" w:sz="4" w:space="0" w:color="auto"/>
            </w:tcBorders>
            <w:hideMark/>
          </w:tcPr>
          <w:p w14:paraId="002EC251" w14:textId="78CFAC26" w:rsidR="00E21454" w:rsidRPr="00C63D4B" w:rsidRDefault="00F65A92" w:rsidP="00184FD7">
            <w:pPr>
              <w:jc w:val="right"/>
              <w:rPr>
                <w:rFonts w:asciiTheme="majorBidi" w:hAnsiTheme="majorBidi" w:cstheme="majorBidi"/>
                <w:sz w:val="24"/>
                <w:szCs w:val="24"/>
              </w:rPr>
            </w:pPr>
            <w:r>
              <w:rPr>
                <w:rFonts w:asciiTheme="majorBidi" w:hAnsiTheme="majorBidi" w:cstheme="majorBidi"/>
                <w:sz w:val="24"/>
                <w:szCs w:val="24"/>
              </w:rPr>
              <w:t>Gross Domestic Product</w:t>
            </w:r>
          </w:p>
        </w:tc>
        <w:tc>
          <w:tcPr>
            <w:tcW w:w="3117" w:type="dxa"/>
            <w:tcBorders>
              <w:left w:val="single" w:sz="4" w:space="0" w:color="auto"/>
              <w:right w:val="single" w:sz="4" w:space="0" w:color="auto"/>
            </w:tcBorders>
          </w:tcPr>
          <w:p w14:paraId="1CE13FE5" w14:textId="778DF9E3" w:rsidR="00E21454" w:rsidRPr="00C63D4B" w:rsidRDefault="00F65A92" w:rsidP="00184FD7">
            <w:pPr>
              <w:jc w:val="center"/>
              <w:rPr>
                <w:rFonts w:asciiTheme="majorBidi" w:hAnsiTheme="majorBidi" w:cstheme="majorBidi"/>
                <w:sz w:val="24"/>
                <w:szCs w:val="24"/>
              </w:rPr>
            </w:pPr>
            <w:r>
              <w:rPr>
                <w:rFonts w:asciiTheme="majorBidi" w:hAnsiTheme="majorBidi" w:cstheme="majorBidi"/>
                <w:sz w:val="24"/>
                <w:szCs w:val="24"/>
              </w:rPr>
              <w:t>215744</w:t>
            </w:r>
          </w:p>
        </w:tc>
        <w:tc>
          <w:tcPr>
            <w:tcW w:w="3117" w:type="dxa"/>
            <w:tcBorders>
              <w:left w:val="single" w:sz="4" w:space="0" w:color="auto"/>
            </w:tcBorders>
          </w:tcPr>
          <w:p w14:paraId="085CFCF4" w14:textId="190FBC8B" w:rsidR="00E21454" w:rsidRPr="00C63D4B" w:rsidRDefault="00F65A92" w:rsidP="00184FD7">
            <w:pPr>
              <w:rPr>
                <w:rFonts w:asciiTheme="majorBidi" w:hAnsiTheme="majorBidi" w:cstheme="majorBidi"/>
                <w:sz w:val="24"/>
                <w:szCs w:val="24"/>
              </w:rPr>
            </w:pPr>
            <w:r>
              <w:rPr>
                <w:rFonts w:asciiTheme="majorBidi" w:hAnsiTheme="majorBidi" w:cstheme="majorBidi"/>
                <w:sz w:val="24"/>
                <w:szCs w:val="24"/>
              </w:rPr>
              <w:t>362285</w:t>
            </w:r>
          </w:p>
        </w:tc>
      </w:tr>
      <w:tr w:rsidR="00E21454" w:rsidRPr="00715078" w14:paraId="6F142C7A" w14:textId="77777777" w:rsidTr="00184FD7">
        <w:trPr>
          <w:trHeight w:val="20"/>
        </w:trPr>
        <w:tc>
          <w:tcPr>
            <w:tcW w:w="3116" w:type="dxa"/>
            <w:tcBorders>
              <w:right w:val="single" w:sz="4" w:space="0" w:color="auto"/>
            </w:tcBorders>
            <w:hideMark/>
          </w:tcPr>
          <w:p w14:paraId="05AA1142" w14:textId="7AEDB4CA" w:rsidR="00E21454" w:rsidRPr="00C63D4B" w:rsidRDefault="00F65A92" w:rsidP="00184FD7">
            <w:pPr>
              <w:jc w:val="right"/>
              <w:rPr>
                <w:rFonts w:asciiTheme="majorBidi" w:hAnsiTheme="majorBidi" w:cstheme="majorBidi"/>
                <w:sz w:val="24"/>
                <w:szCs w:val="24"/>
              </w:rPr>
            </w:pPr>
            <w:r>
              <w:rPr>
                <w:rFonts w:asciiTheme="majorBidi" w:hAnsiTheme="majorBidi" w:cstheme="majorBidi"/>
                <w:sz w:val="24"/>
                <w:szCs w:val="24"/>
              </w:rPr>
              <w:t>Heavy Drinking Status</w:t>
            </w:r>
          </w:p>
        </w:tc>
        <w:tc>
          <w:tcPr>
            <w:tcW w:w="3117" w:type="dxa"/>
            <w:tcBorders>
              <w:left w:val="single" w:sz="4" w:space="0" w:color="auto"/>
              <w:right w:val="single" w:sz="4" w:space="0" w:color="auto"/>
            </w:tcBorders>
          </w:tcPr>
          <w:p w14:paraId="6864BE9B" w14:textId="17A75343" w:rsidR="00E21454" w:rsidRPr="00C63D4B" w:rsidRDefault="00F65A92" w:rsidP="00184FD7">
            <w:pPr>
              <w:jc w:val="center"/>
              <w:rPr>
                <w:rFonts w:asciiTheme="majorBidi" w:hAnsiTheme="majorBidi" w:cstheme="majorBidi"/>
                <w:sz w:val="24"/>
                <w:szCs w:val="24"/>
              </w:rPr>
            </w:pPr>
            <w:r>
              <w:rPr>
                <w:rFonts w:asciiTheme="majorBidi" w:hAnsiTheme="majorBidi" w:cstheme="majorBidi"/>
                <w:sz w:val="24"/>
                <w:szCs w:val="24"/>
              </w:rPr>
              <w:t>7.9</w:t>
            </w:r>
            <w:r w:rsidR="001B6FC6">
              <w:rPr>
                <w:rFonts w:asciiTheme="majorBidi" w:hAnsiTheme="majorBidi" w:cstheme="majorBidi"/>
                <w:sz w:val="24"/>
                <w:szCs w:val="24"/>
              </w:rPr>
              <w:t>%</w:t>
            </w:r>
          </w:p>
        </w:tc>
        <w:tc>
          <w:tcPr>
            <w:tcW w:w="3117" w:type="dxa"/>
            <w:tcBorders>
              <w:left w:val="single" w:sz="4" w:space="0" w:color="auto"/>
            </w:tcBorders>
          </w:tcPr>
          <w:p w14:paraId="7BF131E6" w14:textId="0931E053" w:rsidR="00E21454" w:rsidRPr="00C63D4B" w:rsidRDefault="00F65A92" w:rsidP="00184FD7">
            <w:pPr>
              <w:rPr>
                <w:rFonts w:asciiTheme="majorBidi" w:hAnsiTheme="majorBidi" w:cstheme="majorBidi"/>
                <w:sz w:val="24"/>
                <w:szCs w:val="24"/>
              </w:rPr>
            </w:pPr>
            <w:r>
              <w:rPr>
                <w:rFonts w:asciiTheme="majorBidi" w:hAnsiTheme="majorBidi" w:cstheme="majorBidi"/>
                <w:sz w:val="24"/>
                <w:szCs w:val="24"/>
              </w:rPr>
              <w:t>6.852</w:t>
            </w:r>
            <w:r w:rsidR="001B6FC6">
              <w:rPr>
                <w:rFonts w:asciiTheme="majorBidi" w:hAnsiTheme="majorBidi" w:cstheme="majorBidi"/>
                <w:sz w:val="24"/>
                <w:szCs w:val="24"/>
              </w:rPr>
              <w:t>%</w:t>
            </w:r>
          </w:p>
        </w:tc>
      </w:tr>
      <w:tr w:rsidR="00E21454" w:rsidRPr="00715078" w14:paraId="2ECF857E" w14:textId="77777777" w:rsidTr="00184FD7">
        <w:trPr>
          <w:trHeight w:val="20"/>
        </w:trPr>
        <w:tc>
          <w:tcPr>
            <w:tcW w:w="3116" w:type="dxa"/>
            <w:tcBorders>
              <w:right w:val="single" w:sz="4" w:space="0" w:color="auto"/>
            </w:tcBorders>
            <w:hideMark/>
          </w:tcPr>
          <w:p w14:paraId="73FB421F" w14:textId="2EC55799" w:rsidR="00E21454" w:rsidRPr="00C63D4B" w:rsidRDefault="00F65A92" w:rsidP="00184FD7">
            <w:pPr>
              <w:jc w:val="right"/>
              <w:rPr>
                <w:rFonts w:asciiTheme="majorBidi" w:hAnsiTheme="majorBidi" w:cstheme="majorBidi"/>
                <w:sz w:val="24"/>
                <w:szCs w:val="24"/>
              </w:rPr>
            </w:pPr>
            <w:r>
              <w:rPr>
                <w:rFonts w:asciiTheme="majorBidi" w:hAnsiTheme="majorBidi" w:cstheme="majorBidi"/>
                <w:sz w:val="24"/>
                <w:szCs w:val="24"/>
              </w:rPr>
              <w:t>Smoker Status</w:t>
            </w:r>
          </w:p>
        </w:tc>
        <w:tc>
          <w:tcPr>
            <w:tcW w:w="3117" w:type="dxa"/>
            <w:tcBorders>
              <w:left w:val="single" w:sz="4" w:space="0" w:color="auto"/>
              <w:right w:val="single" w:sz="4" w:space="0" w:color="auto"/>
            </w:tcBorders>
          </w:tcPr>
          <w:p w14:paraId="09249E92" w14:textId="530215D2" w:rsidR="00E21454" w:rsidRPr="00C63D4B" w:rsidRDefault="00F65A92" w:rsidP="00184FD7">
            <w:pPr>
              <w:jc w:val="center"/>
              <w:rPr>
                <w:rFonts w:asciiTheme="majorBidi" w:hAnsiTheme="majorBidi" w:cstheme="majorBidi"/>
                <w:sz w:val="24"/>
                <w:szCs w:val="24"/>
              </w:rPr>
            </w:pPr>
            <w:r>
              <w:rPr>
                <w:rFonts w:asciiTheme="majorBidi" w:hAnsiTheme="majorBidi" w:cstheme="majorBidi"/>
                <w:sz w:val="24"/>
                <w:szCs w:val="24"/>
              </w:rPr>
              <w:t>13.4</w:t>
            </w:r>
            <w:r w:rsidR="001B6FC6">
              <w:rPr>
                <w:rFonts w:asciiTheme="majorBidi" w:hAnsiTheme="majorBidi" w:cstheme="majorBidi"/>
                <w:sz w:val="24"/>
                <w:szCs w:val="24"/>
              </w:rPr>
              <w:t>%</w:t>
            </w:r>
          </w:p>
        </w:tc>
        <w:tc>
          <w:tcPr>
            <w:tcW w:w="3117" w:type="dxa"/>
            <w:tcBorders>
              <w:left w:val="single" w:sz="4" w:space="0" w:color="auto"/>
            </w:tcBorders>
          </w:tcPr>
          <w:p w14:paraId="5CE3EB87" w14:textId="27A513C6" w:rsidR="00E21454" w:rsidRPr="00C63D4B" w:rsidRDefault="00F65A92" w:rsidP="00184FD7">
            <w:pPr>
              <w:rPr>
                <w:rFonts w:asciiTheme="majorBidi" w:hAnsiTheme="majorBidi" w:cstheme="majorBidi"/>
                <w:sz w:val="24"/>
                <w:szCs w:val="24"/>
              </w:rPr>
            </w:pPr>
            <w:r>
              <w:rPr>
                <w:rFonts w:asciiTheme="majorBidi" w:hAnsiTheme="majorBidi" w:cstheme="majorBidi"/>
                <w:sz w:val="24"/>
                <w:szCs w:val="24"/>
              </w:rPr>
              <w:t>15.</w:t>
            </w:r>
            <w:r w:rsidR="001B6FC6">
              <w:rPr>
                <w:rFonts w:asciiTheme="majorBidi" w:hAnsiTheme="majorBidi" w:cstheme="majorBidi"/>
                <w:sz w:val="24"/>
                <w:szCs w:val="24"/>
              </w:rPr>
              <w:t>4%</w:t>
            </w:r>
          </w:p>
        </w:tc>
      </w:tr>
      <w:tr w:rsidR="00E21454" w:rsidRPr="00715078" w14:paraId="02378BEC" w14:textId="77777777" w:rsidTr="00184FD7">
        <w:trPr>
          <w:trHeight w:val="20"/>
        </w:trPr>
        <w:tc>
          <w:tcPr>
            <w:tcW w:w="3116" w:type="dxa"/>
            <w:tcBorders>
              <w:right w:val="single" w:sz="4" w:space="0" w:color="auto"/>
            </w:tcBorders>
            <w:hideMark/>
          </w:tcPr>
          <w:p w14:paraId="6A40F861" w14:textId="7C017340" w:rsidR="00E21454" w:rsidRPr="00C63D4B" w:rsidRDefault="00F65A92" w:rsidP="00184FD7">
            <w:pPr>
              <w:jc w:val="right"/>
              <w:rPr>
                <w:rFonts w:asciiTheme="majorBidi" w:hAnsiTheme="majorBidi" w:cstheme="majorBidi"/>
                <w:sz w:val="24"/>
                <w:szCs w:val="24"/>
              </w:rPr>
            </w:pPr>
            <w:r>
              <w:rPr>
                <w:rFonts w:asciiTheme="majorBidi" w:hAnsiTheme="majorBidi" w:cstheme="majorBidi"/>
                <w:sz w:val="24"/>
                <w:szCs w:val="24"/>
              </w:rPr>
              <w:t>Wage Income</w:t>
            </w:r>
          </w:p>
        </w:tc>
        <w:tc>
          <w:tcPr>
            <w:tcW w:w="3117" w:type="dxa"/>
            <w:tcBorders>
              <w:left w:val="single" w:sz="4" w:space="0" w:color="auto"/>
              <w:right w:val="single" w:sz="4" w:space="0" w:color="auto"/>
            </w:tcBorders>
          </w:tcPr>
          <w:p w14:paraId="598597A0" w14:textId="3DB9B025" w:rsidR="00E21454" w:rsidRPr="00C63D4B" w:rsidRDefault="00F65A92" w:rsidP="00184FD7">
            <w:pPr>
              <w:jc w:val="center"/>
              <w:rPr>
                <w:rFonts w:asciiTheme="majorBidi" w:hAnsiTheme="majorBidi" w:cstheme="majorBidi"/>
                <w:sz w:val="24"/>
                <w:szCs w:val="24"/>
              </w:rPr>
            </w:pPr>
            <w:r>
              <w:rPr>
                <w:rFonts w:asciiTheme="majorBidi" w:hAnsiTheme="majorBidi" w:cstheme="majorBidi"/>
                <w:sz w:val="24"/>
                <w:szCs w:val="24"/>
              </w:rPr>
              <w:t>20634</w:t>
            </w:r>
            <w:r w:rsidR="001B6FC6">
              <w:rPr>
                <w:rFonts w:asciiTheme="majorBidi" w:hAnsiTheme="majorBidi" w:cstheme="majorBidi"/>
                <w:sz w:val="24"/>
                <w:szCs w:val="24"/>
              </w:rPr>
              <w:t>4</w:t>
            </w:r>
          </w:p>
        </w:tc>
        <w:tc>
          <w:tcPr>
            <w:tcW w:w="3117" w:type="dxa"/>
            <w:tcBorders>
              <w:left w:val="single" w:sz="4" w:space="0" w:color="auto"/>
            </w:tcBorders>
          </w:tcPr>
          <w:p w14:paraId="7516AEA9" w14:textId="7B8EDD01" w:rsidR="00E21454" w:rsidRPr="00C63D4B" w:rsidRDefault="001B6FC6" w:rsidP="00184FD7">
            <w:pPr>
              <w:rPr>
                <w:rFonts w:asciiTheme="majorBidi" w:hAnsiTheme="majorBidi" w:cstheme="majorBidi"/>
                <w:sz w:val="24"/>
                <w:szCs w:val="24"/>
              </w:rPr>
            </w:pPr>
            <w:r>
              <w:rPr>
                <w:rFonts w:asciiTheme="majorBidi" w:hAnsiTheme="majorBidi" w:cstheme="majorBidi"/>
                <w:sz w:val="24"/>
                <w:szCs w:val="24"/>
              </w:rPr>
              <w:t>221821</w:t>
            </w:r>
          </w:p>
        </w:tc>
      </w:tr>
      <w:tr w:rsidR="00E21454" w:rsidRPr="00715078" w14:paraId="772D60BF" w14:textId="77777777" w:rsidTr="00184FD7">
        <w:trPr>
          <w:trHeight w:val="20"/>
        </w:trPr>
        <w:tc>
          <w:tcPr>
            <w:tcW w:w="3116" w:type="dxa"/>
            <w:tcBorders>
              <w:right w:val="single" w:sz="4" w:space="0" w:color="auto"/>
            </w:tcBorders>
            <w:hideMark/>
          </w:tcPr>
          <w:p w14:paraId="27FFA065" w14:textId="36F05957" w:rsidR="00E21454" w:rsidRPr="00C63D4B" w:rsidRDefault="00F65A92" w:rsidP="00184FD7">
            <w:pPr>
              <w:jc w:val="right"/>
              <w:rPr>
                <w:rFonts w:asciiTheme="majorBidi" w:hAnsiTheme="majorBidi" w:cstheme="majorBidi"/>
                <w:sz w:val="24"/>
                <w:szCs w:val="24"/>
              </w:rPr>
            </w:pPr>
            <w:r>
              <w:rPr>
                <w:rFonts w:asciiTheme="majorBidi" w:hAnsiTheme="majorBidi" w:cstheme="majorBidi"/>
                <w:sz w:val="24"/>
                <w:szCs w:val="24"/>
              </w:rPr>
              <w:t>Proportion Age 15-24</w:t>
            </w:r>
          </w:p>
        </w:tc>
        <w:tc>
          <w:tcPr>
            <w:tcW w:w="3117" w:type="dxa"/>
            <w:tcBorders>
              <w:left w:val="single" w:sz="4" w:space="0" w:color="auto"/>
              <w:right w:val="single" w:sz="4" w:space="0" w:color="auto"/>
            </w:tcBorders>
          </w:tcPr>
          <w:p w14:paraId="14B91D5C" w14:textId="21A86781" w:rsidR="00E21454" w:rsidRPr="00C63D4B" w:rsidRDefault="00F65A92" w:rsidP="00184FD7">
            <w:pPr>
              <w:jc w:val="center"/>
              <w:rPr>
                <w:rFonts w:asciiTheme="majorBidi" w:hAnsiTheme="majorBidi" w:cstheme="majorBidi"/>
                <w:sz w:val="24"/>
                <w:szCs w:val="24"/>
              </w:rPr>
            </w:pPr>
            <w:r>
              <w:rPr>
                <w:rFonts w:asciiTheme="majorBidi" w:hAnsiTheme="majorBidi" w:cstheme="majorBidi"/>
                <w:sz w:val="24"/>
                <w:szCs w:val="24"/>
              </w:rPr>
              <w:t>12.2%</w:t>
            </w:r>
          </w:p>
        </w:tc>
        <w:tc>
          <w:tcPr>
            <w:tcW w:w="3117" w:type="dxa"/>
            <w:tcBorders>
              <w:left w:val="single" w:sz="4" w:space="0" w:color="auto"/>
            </w:tcBorders>
          </w:tcPr>
          <w:p w14:paraId="1CA814A9" w14:textId="4B69DC3D" w:rsidR="00E21454" w:rsidRPr="00C63D4B" w:rsidRDefault="001B6FC6" w:rsidP="00184FD7">
            <w:pPr>
              <w:rPr>
                <w:rFonts w:asciiTheme="majorBidi" w:hAnsiTheme="majorBidi" w:cstheme="majorBidi"/>
                <w:sz w:val="24"/>
                <w:szCs w:val="24"/>
              </w:rPr>
            </w:pPr>
            <w:r>
              <w:rPr>
                <w:rFonts w:asciiTheme="majorBidi" w:hAnsiTheme="majorBidi" w:cstheme="majorBidi"/>
                <w:sz w:val="24"/>
                <w:szCs w:val="24"/>
              </w:rPr>
              <w:t>13.1%</w:t>
            </w:r>
          </w:p>
        </w:tc>
      </w:tr>
      <w:tr w:rsidR="00E21454" w:rsidRPr="00715078" w14:paraId="44D0A349" w14:textId="77777777" w:rsidTr="00184FD7">
        <w:trPr>
          <w:trHeight w:val="20"/>
        </w:trPr>
        <w:tc>
          <w:tcPr>
            <w:tcW w:w="3116" w:type="dxa"/>
            <w:tcBorders>
              <w:right w:val="single" w:sz="4" w:space="0" w:color="auto"/>
            </w:tcBorders>
            <w:hideMark/>
          </w:tcPr>
          <w:p w14:paraId="22E578EC" w14:textId="5F7A4855" w:rsidR="00E21454" w:rsidRPr="00C63D4B" w:rsidRDefault="00F65A92" w:rsidP="00184FD7">
            <w:pPr>
              <w:jc w:val="right"/>
              <w:rPr>
                <w:rFonts w:asciiTheme="majorBidi" w:hAnsiTheme="majorBidi" w:cstheme="majorBidi"/>
                <w:sz w:val="24"/>
                <w:szCs w:val="24"/>
              </w:rPr>
            </w:pPr>
            <w:r>
              <w:rPr>
                <w:rFonts w:asciiTheme="majorBidi" w:hAnsiTheme="majorBidi" w:cstheme="majorBidi"/>
                <w:sz w:val="24"/>
                <w:szCs w:val="24"/>
              </w:rPr>
              <w:t>Proportion</w:t>
            </w:r>
            <w:r>
              <w:rPr>
                <w:rFonts w:asciiTheme="majorBidi" w:hAnsiTheme="majorBidi" w:cstheme="majorBidi"/>
                <w:sz w:val="24"/>
                <w:szCs w:val="24"/>
              </w:rPr>
              <w:t xml:space="preserve"> 12+ Years Education</w:t>
            </w:r>
          </w:p>
        </w:tc>
        <w:tc>
          <w:tcPr>
            <w:tcW w:w="3117" w:type="dxa"/>
            <w:tcBorders>
              <w:left w:val="single" w:sz="4" w:space="0" w:color="auto"/>
              <w:right w:val="single" w:sz="4" w:space="0" w:color="auto"/>
            </w:tcBorders>
          </w:tcPr>
          <w:p w14:paraId="398000E0" w14:textId="77777777" w:rsidR="00F65A92" w:rsidRDefault="00F65A92" w:rsidP="00184FD7">
            <w:pPr>
              <w:jc w:val="center"/>
              <w:rPr>
                <w:rFonts w:asciiTheme="majorBidi" w:hAnsiTheme="majorBidi" w:cstheme="majorBidi"/>
                <w:sz w:val="24"/>
                <w:szCs w:val="24"/>
              </w:rPr>
            </w:pPr>
          </w:p>
          <w:p w14:paraId="585CC130" w14:textId="4A77EA2A" w:rsidR="00E21454" w:rsidRPr="00C63D4B" w:rsidRDefault="001B6FC6" w:rsidP="00184FD7">
            <w:pPr>
              <w:jc w:val="center"/>
              <w:rPr>
                <w:rFonts w:asciiTheme="majorBidi" w:hAnsiTheme="majorBidi" w:cstheme="majorBidi"/>
                <w:sz w:val="24"/>
                <w:szCs w:val="24"/>
              </w:rPr>
            </w:pPr>
            <w:r>
              <w:rPr>
                <w:rFonts w:asciiTheme="majorBidi" w:hAnsiTheme="majorBidi" w:cstheme="majorBidi"/>
                <w:sz w:val="24"/>
                <w:szCs w:val="24"/>
              </w:rPr>
              <w:t>73.77%</w:t>
            </w:r>
          </w:p>
        </w:tc>
        <w:tc>
          <w:tcPr>
            <w:tcW w:w="3117" w:type="dxa"/>
            <w:tcBorders>
              <w:left w:val="single" w:sz="4" w:space="0" w:color="auto"/>
            </w:tcBorders>
          </w:tcPr>
          <w:p w14:paraId="4114B908" w14:textId="77777777" w:rsidR="001B6FC6" w:rsidRDefault="001B6FC6" w:rsidP="00184FD7">
            <w:pPr>
              <w:rPr>
                <w:rFonts w:asciiTheme="majorBidi" w:hAnsiTheme="majorBidi" w:cstheme="majorBidi"/>
                <w:sz w:val="24"/>
                <w:szCs w:val="24"/>
              </w:rPr>
            </w:pPr>
          </w:p>
          <w:p w14:paraId="796C24E7" w14:textId="7AD7BA58" w:rsidR="00E21454" w:rsidRPr="00C63D4B" w:rsidRDefault="001B6FC6" w:rsidP="00184FD7">
            <w:pPr>
              <w:rPr>
                <w:rFonts w:asciiTheme="majorBidi" w:hAnsiTheme="majorBidi" w:cstheme="majorBidi"/>
                <w:sz w:val="24"/>
                <w:szCs w:val="24"/>
              </w:rPr>
            </w:pPr>
            <w:r>
              <w:rPr>
                <w:rFonts w:asciiTheme="majorBidi" w:hAnsiTheme="majorBidi" w:cstheme="majorBidi"/>
                <w:sz w:val="24"/>
                <w:szCs w:val="24"/>
              </w:rPr>
              <w:t>71.49%</w:t>
            </w:r>
          </w:p>
        </w:tc>
      </w:tr>
      <w:tr w:rsidR="00E21454" w:rsidRPr="00715078" w14:paraId="64A5F025" w14:textId="77777777" w:rsidTr="00184FD7">
        <w:trPr>
          <w:trHeight w:val="20"/>
        </w:trPr>
        <w:tc>
          <w:tcPr>
            <w:tcW w:w="3116" w:type="dxa"/>
            <w:tcBorders>
              <w:right w:val="single" w:sz="4" w:space="0" w:color="auto"/>
            </w:tcBorders>
            <w:hideMark/>
          </w:tcPr>
          <w:p w14:paraId="1314FA9E" w14:textId="7C974C2E" w:rsidR="00E21454" w:rsidRPr="00C63D4B" w:rsidRDefault="00F65A92" w:rsidP="00184FD7">
            <w:pPr>
              <w:jc w:val="right"/>
              <w:rPr>
                <w:rFonts w:asciiTheme="majorBidi" w:hAnsiTheme="majorBidi" w:cstheme="majorBidi"/>
                <w:sz w:val="24"/>
                <w:szCs w:val="24"/>
              </w:rPr>
            </w:pPr>
            <w:r>
              <w:rPr>
                <w:rFonts w:asciiTheme="majorBidi" w:hAnsiTheme="majorBidi" w:cstheme="majorBidi"/>
                <w:sz w:val="24"/>
                <w:szCs w:val="24"/>
              </w:rPr>
              <w:t>Portion Rural</w:t>
            </w:r>
          </w:p>
        </w:tc>
        <w:tc>
          <w:tcPr>
            <w:tcW w:w="3117" w:type="dxa"/>
            <w:tcBorders>
              <w:left w:val="single" w:sz="4" w:space="0" w:color="auto"/>
              <w:right w:val="single" w:sz="4" w:space="0" w:color="auto"/>
            </w:tcBorders>
          </w:tcPr>
          <w:p w14:paraId="26DF43BC" w14:textId="46044608" w:rsidR="00E21454" w:rsidRPr="00C63D4B" w:rsidRDefault="001B6FC6" w:rsidP="00184FD7">
            <w:pPr>
              <w:jc w:val="center"/>
              <w:rPr>
                <w:rFonts w:asciiTheme="majorBidi" w:hAnsiTheme="majorBidi" w:cstheme="majorBidi"/>
                <w:sz w:val="24"/>
                <w:szCs w:val="24"/>
              </w:rPr>
            </w:pPr>
            <w:r>
              <w:rPr>
                <w:rFonts w:asciiTheme="majorBidi" w:hAnsiTheme="majorBidi" w:cstheme="majorBidi"/>
                <w:sz w:val="24"/>
                <w:szCs w:val="24"/>
              </w:rPr>
              <w:t>11.3%</w:t>
            </w:r>
          </w:p>
        </w:tc>
        <w:tc>
          <w:tcPr>
            <w:tcW w:w="3117" w:type="dxa"/>
            <w:tcBorders>
              <w:left w:val="single" w:sz="4" w:space="0" w:color="auto"/>
            </w:tcBorders>
          </w:tcPr>
          <w:p w14:paraId="5E364FF2" w14:textId="0FE26D14" w:rsidR="00E21454" w:rsidRPr="00C63D4B" w:rsidRDefault="001B6FC6" w:rsidP="00184FD7">
            <w:pPr>
              <w:rPr>
                <w:rFonts w:asciiTheme="majorBidi" w:hAnsiTheme="majorBidi" w:cstheme="majorBidi"/>
                <w:sz w:val="24"/>
                <w:szCs w:val="24"/>
              </w:rPr>
            </w:pPr>
            <w:r w:rsidRPr="001B6FC6">
              <w:rPr>
                <w:rFonts w:asciiTheme="majorBidi" w:hAnsiTheme="majorBidi" w:cstheme="majorBidi"/>
                <w:sz w:val="24"/>
                <w:szCs w:val="24"/>
              </w:rPr>
              <w:t>14</w:t>
            </w:r>
            <w:r>
              <w:rPr>
                <w:rFonts w:asciiTheme="majorBidi" w:hAnsiTheme="majorBidi" w:cstheme="majorBidi"/>
                <w:sz w:val="24"/>
                <w:szCs w:val="24"/>
              </w:rPr>
              <w:t>.</w:t>
            </w:r>
            <w:r w:rsidRPr="001B6FC6">
              <w:rPr>
                <w:rFonts w:asciiTheme="majorBidi" w:hAnsiTheme="majorBidi" w:cstheme="majorBidi"/>
                <w:sz w:val="24"/>
                <w:szCs w:val="24"/>
              </w:rPr>
              <w:t>5</w:t>
            </w:r>
            <w:r>
              <w:rPr>
                <w:rFonts w:asciiTheme="majorBidi" w:hAnsiTheme="majorBidi" w:cstheme="majorBidi"/>
                <w:sz w:val="24"/>
                <w:szCs w:val="24"/>
              </w:rPr>
              <w:t>%</w:t>
            </w:r>
          </w:p>
        </w:tc>
      </w:tr>
      <w:tr w:rsidR="00F65A92" w:rsidRPr="00715078" w14:paraId="26BAEED4" w14:textId="77777777" w:rsidTr="00F65A92">
        <w:trPr>
          <w:trHeight w:val="117"/>
        </w:trPr>
        <w:tc>
          <w:tcPr>
            <w:tcW w:w="3116" w:type="dxa"/>
            <w:tcBorders>
              <w:bottom w:val="single" w:sz="4" w:space="0" w:color="auto"/>
              <w:right w:val="single" w:sz="4" w:space="0" w:color="auto"/>
            </w:tcBorders>
          </w:tcPr>
          <w:p w14:paraId="20DC6E7E" w14:textId="798A5F52" w:rsidR="00F65A92" w:rsidRPr="00C63D4B" w:rsidRDefault="00F65A92" w:rsidP="00F65A92">
            <w:pPr>
              <w:jc w:val="right"/>
              <w:rPr>
                <w:rFonts w:asciiTheme="majorBidi" w:hAnsiTheme="majorBidi" w:cstheme="majorBidi"/>
                <w:sz w:val="24"/>
                <w:szCs w:val="24"/>
              </w:rPr>
            </w:pPr>
            <w:r>
              <w:rPr>
                <w:rFonts w:asciiTheme="majorBidi" w:hAnsiTheme="majorBidi" w:cstheme="majorBidi"/>
                <w:sz w:val="24"/>
                <w:szCs w:val="24"/>
              </w:rPr>
              <w:t>Portion With Any Health Insurance</w:t>
            </w:r>
          </w:p>
        </w:tc>
        <w:tc>
          <w:tcPr>
            <w:tcW w:w="3117" w:type="dxa"/>
            <w:tcBorders>
              <w:left w:val="single" w:sz="4" w:space="0" w:color="auto"/>
              <w:bottom w:val="single" w:sz="4" w:space="0" w:color="auto"/>
              <w:right w:val="single" w:sz="4" w:space="0" w:color="auto"/>
            </w:tcBorders>
          </w:tcPr>
          <w:p w14:paraId="0AE87E96" w14:textId="77777777" w:rsidR="001B6FC6" w:rsidRDefault="001B6FC6" w:rsidP="00F65A92">
            <w:pPr>
              <w:jc w:val="center"/>
              <w:rPr>
                <w:rFonts w:asciiTheme="majorBidi" w:hAnsiTheme="majorBidi" w:cstheme="majorBidi"/>
                <w:sz w:val="24"/>
                <w:szCs w:val="24"/>
              </w:rPr>
            </w:pPr>
          </w:p>
          <w:p w14:paraId="4387A8EC" w14:textId="4E9A2774" w:rsidR="00F65A92" w:rsidRPr="00C63D4B" w:rsidRDefault="001B6FC6" w:rsidP="00F65A92">
            <w:pPr>
              <w:jc w:val="center"/>
              <w:rPr>
                <w:rFonts w:asciiTheme="majorBidi" w:hAnsiTheme="majorBidi" w:cstheme="majorBidi"/>
                <w:sz w:val="24"/>
                <w:szCs w:val="24"/>
              </w:rPr>
            </w:pPr>
            <w:r>
              <w:rPr>
                <w:rFonts w:asciiTheme="majorBidi" w:hAnsiTheme="majorBidi" w:cstheme="majorBidi"/>
                <w:sz w:val="24"/>
                <w:szCs w:val="24"/>
              </w:rPr>
              <w:t>92.7%</w:t>
            </w:r>
          </w:p>
        </w:tc>
        <w:tc>
          <w:tcPr>
            <w:tcW w:w="3117" w:type="dxa"/>
            <w:tcBorders>
              <w:left w:val="single" w:sz="4" w:space="0" w:color="auto"/>
              <w:bottom w:val="single" w:sz="4" w:space="0" w:color="auto"/>
            </w:tcBorders>
          </w:tcPr>
          <w:p w14:paraId="50F30660" w14:textId="77777777" w:rsidR="00F65A92" w:rsidRDefault="00F65A92" w:rsidP="00F65A92">
            <w:pPr>
              <w:rPr>
                <w:rFonts w:asciiTheme="majorBidi" w:hAnsiTheme="majorBidi" w:cstheme="majorBidi"/>
                <w:sz w:val="24"/>
                <w:szCs w:val="24"/>
              </w:rPr>
            </w:pPr>
          </w:p>
          <w:p w14:paraId="466834B5" w14:textId="0DA91299" w:rsidR="001B6FC6" w:rsidRPr="00C63D4B" w:rsidRDefault="001B6FC6" w:rsidP="00F65A92">
            <w:pPr>
              <w:rPr>
                <w:rFonts w:asciiTheme="majorBidi" w:hAnsiTheme="majorBidi" w:cstheme="majorBidi"/>
                <w:sz w:val="24"/>
                <w:szCs w:val="24"/>
              </w:rPr>
            </w:pPr>
            <w:r>
              <w:rPr>
                <w:rFonts w:asciiTheme="majorBidi" w:hAnsiTheme="majorBidi" w:cstheme="majorBidi"/>
                <w:sz w:val="24"/>
                <w:szCs w:val="24"/>
              </w:rPr>
              <w:t>91.4%</w:t>
            </w:r>
          </w:p>
        </w:tc>
      </w:tr>
    </w:tbl>
    <w:p w14:paraId="0CF4CE4E" w14:textId="243586B5" w:rsidR="00E21454" w:rsidRDefault="00E21454">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623D1" w:rsidRPr="00715078" w14:paraId="7767FD48" w14:textId="77777777" w:rsidTr="00CF5CDE">
        <w:tc>
          <w:tcPr>
            <w:tcW w:w="9350" w:type="dxa"/>
            <w:gridSpan w:val="2"/>
            <w:tcBorders>
              <w:bottom w:val="single" w:sz="4" w:space="0" w:color="auto"/>
            </w:tcBorders>
          </w:tcPr>
          <w:p w14:paraId="5C926636" w14:textId="12882B60" w:rsidR="00C623D1" w:rsidRPr="00715078" w:rsidRDefault="00C623D1" w:rsidP="00CF5CDE">
            <w:pPr>
              <w:jc w:val="center"/>
              <w:rPr>
                <w:rFonts w:asciiTheme="majorBidi" w:hAnsiTheme="majorBidi" w:cstheme="majorBidi"/>
                <w:b/>
                <w:bCs/>
                <w:sz w:val="24"/>
                <w:szCs w:val="24"/>
              </w:rPr>
            </w:pPr>
            <w:r w:rsidRPr="00715078">
              <w:rPr>
                <w:rFonts w:asciiTheme="majorBidi" w:hAnsiTheme="majorBidi" w:cstheme="majorBidi"/>
                <w:b/>
                <w:bCs/>
                <w:sz w:val="24"/>
                <w:szCs w:val="24"/>
              </w:rPr>
              <w:lastRenderedPageBreak/>
              <w:t xml:space="preserve">Table </w:t>
            </w:r>
            <w:r w:rsidR="00E21454">
              <w:rPr>
                <w:rFonts w:asciiTheme="majorBidi" w:hAnsiTheme="majorBidi" w:cstheme="majorBidi"/>
                <w:b/>
                <w:bCs/>
                <w:sz w:val="24"/>
                <w:szCs w:val="24"/>
              </w:rPr>
              <w:t>3</w:t>
            </w:r>
            <w:r w:rsidRPr="00715078">
              <w:rPr>
                <w:rFonts w:asciiTheme="majorBidi" w:hAnsiTheme="majorBidi" w:cstheme="majorBidi"/>
                <w:b/>
                <w:bCs/>
                <w:sz w:val="24"/>
                <w:szCs w:val="24"/>
              </w:rPr>
              <w:t>. Chosen Weights</w:t>
            </w:r>
          </w:p>
        </w:tc>
      </w:tr>
      <w:tr w:rsidR="00C623D1" w:rsidRPr="00715078" w14:paraId="14956AF4" w14:textId="77777777" w:rsidTr="00CF5CDE">
        <w:tc>
          <w:tcPr>
            <w:tcW w:w="4675" w:type="dxa"/>
            <w:tcBorders>
              <w:top w:val="single" w:sz="4" w:space="0" w:color="auto"/>
              <w:bottom w:val="single" w:sz="4" w:space="0" w:color="auto"/>
              <w:right w:val="single" w:sz="4" w:space="0" w:color="auto"/>
            </w:tcBorders>
          </w:tcPr>
          <w:p w14:paraId="6B6CA0ED" w14:textId="77777777" w:rsidR="00C623D1" w:rsidRPr="00715078" w:rsidRDefault="00C623D1" w:rsidP="00CF5CDE">
            <w:pPr>
              <w:jc w:val="center"/>
              <w:rPr>
                <w:rFonts w:asciiTheme="majorBidi" w:hAnsiTheme="majorBidi" w:cstheme="majorBidi"/>
                <w:i/>
                <w:iCs/>
                <w:sz w:val="24"/>
                <w:szCs w:val="24"/>
              </w:rPr>
            </w:pPr>
            <w:r w:rsidRPr="00715078">
              <w:rPr>
                <w:rFonts w:asciiTheme="majorBidi" w:hAnsiTheme="majorBidi" w:cstheme="majorBidi"/>
                <w:i/>
                <w:iCs/>
                <w:sz w:val="24"/>
                <w:szCs w:val="24"/>
              </w:rPr>
              <w:t>State</w:t>
            </w:r>
          </w:p>
        </w:tc>
        <w:tc>
          <w:tcPr>
            <w:tcW w:w="4675" w:type="dxa"/>
            <w:tcBorders>
              <w:top w:val="single" w:sz="4" w:space="0" w:color="auto"/>
              <w:left w:val="single" w:sz="4" w:space="0" w:color="auto"/>
              <w:bottom w:val="single" w:sz="4" w:space="0" w:color="auto"/>
            </w:tcBorders>
          </w:tcPr>
          <w:p w14:paraId="416681FC" w14:textId="77777777" w:rsidR="00C623D1" w:rsidRPr="00715078" w:rsidRDefault="00C623D1" w:rsidP="00CF5CDE">
            <w:pPr>
              <w:jc w:val="center"/>
              <w:rPr>
                <w:rFonts w:asciiTheme="majorBidi" w:hAnsiTheme="majorBidi" w:cstheme="majorBidi"/>
                <w:i/>
                <w:iCs/>
                <w:sz w:val="24"/>
                <w:szCs w:val="24"/>
              </w:rPr>
            </w:pPr>
            <w:r w:rsidRPr="00715078">
              <w:rPr>
                <w:rFonts w:asciiTheme="majorBidi" w:hAnsiTheme="majorBidi" w:cstheme="majorBidi"/>
                <w:i/>
                <w:iCs/>
                <w:sz w:val="24"/>
                <w:szCs w:val="24"/>
              </w:rPr>
              <w:t>Weight</w:t>
            </w:r>
          </w:p>
        </w:tc>
      </w:tr>
      <w:tr w:rsidR="00C623D1" w:rsidRPr="00715078" w14:paraId="60E66DC3" w14:textId="77777777" w:rsidTr="00CF5CDE">
        <w:tc>
          <w:tcPr>
            <w:tcW w:w="4675" w:type="dxa"/>
            <w:tcBorders>
              <w:top w:val="single" w:sz="4" w:space="0" w:color="auto"/>
              <w:right w:val="single" w:sz="4" w:space="0" w:color="auto"/>
            </w:tcBorders>
          </w:tcPr>
          <w:p w14:paraId="4334D447" w14:textId="77777777" w:rsidR="00C623D1" w:rsidRPr="00715078" w:rsidRDefault="00C623D1" w:rsidP="00CF5CDE">
            <w:pPr>
              <w:jc w:val="center"/>
              <w:rPr>
                <w:rFonts w:asciiTheme="majorBidi" w:hAnsiTheme="majorBidi" w:cstheme="majorBidi"/>
                <w:b/>
                <w:bCs/>
                <w:sz w:val="24"/>
                <w:szCs w:val="24"/>
              </w:rPr>
            </w:pPr>
            <w:r w:rsidRPr="00715078">
              <w:rPr>
                <w:rFonts w:asciiTheme="majorBidi" w:hAnsiTheme="majorBidi" w:cstheme="majorBidi"/>
                <w:sz w:val="24"/>
                <w:szCs w:val="24"/>
              </w:rPr>
              <w:t>Alabama</w:t>
            </w:r>
          </w:p>
        </w:tc>
        <w:tc>
          <w:tcPr>
            <w:tcW w:w="4675" w:type="dxa"/>
            <w:tcBorders>
              <w:top w:val="single" w:sz="4" w:space="0" w:color="auto"/>
              <w:left w:val="single" w:sz="4" w:space="0" w:color="auto"/>
            </w:tcBorders>
          </w:tcPr>
          <w:p w14:paraId="5CC08620" w14:textId="2F5D86ED" w:rsidR="00C623D1" w:rsidRPr="00715078" w:rsidRDefault="007C6C8A" w:rsidP="00CF5CDE">
            <w:pPr>
              <w:jc w:val="center"/>
              <w:rPr>
                <w:rFonts w:asciiTheme="majorBidi" w:hAnsiTheme="majorBidi" w:cstheme="majorBidi"/>
                <w:b/>
                <w:bCs/>
                <w:sz w:val="24"/>
                <w:szCs w:val="24"/>
              </w:rPr>
            </w:pPr>
            <w:r>
              <w:rPr>
                <w:rFonts w:asciiTheme="majorBidi" w:hAnsiTheme="majorBidi" w:cstheme="majorBidi"/>
                <w:b/>
                <w:bCs/>
                <w:sz w:val="24"/>
                <w:szCs w:val="24"/>
              </w:rPr>
              <w:t>—</w:t>
            </w:r>
          </w:p>
        </w:tc>
      </w:tr>
      <w:tr w:rsidR="00C623D1" w:rsidRPr="00715078" w14:paraId="1098CC1A" w14:textId="77777777" w:rsidTr="00CF5CDE">
        <w:tc>
          <w:tcPr>
            <w:tcW w:w="4675" w:type="dxa"/>
            <w:tcBorders>
              <w:right w:val="single" w:sz="4" w:space="0" w:color="auto"/>
            </w:tcBorders>
          </w:tcPr>
          <w:p w14:paraId="030DC083" w14:textId="77777777" w:rsidR="00C623D1" w:rsidRPr="00715078" w:rsidRDefault="00C623D1" w:rsidP="00CF5CDE">
            <w:pPr>
              <w:jc w:val="center"/>
              <w:rPr>
                <w:rFonts w:asciiTheme="majorBidi" w:hAnsiTheme="majorBidi" w:cstheme="majorBidi"/>
                <w:b/>
                <w:bCs/>
                <w:sz w:val="24"/>
                <w:szCs w:val="24"/>
              </w:rPr>
            </w:pPr>
            <w:r w:rsidRPr="00715078">
              <w:rPr>
                <w:rFonts w:asciiTheme="majorBidi" w:hAnsiTheme="majorBidi" w:cstheme="majorBidi"/>
                <w:sz w:val="24"/>
                <w:szCs w:val="24"/>
              </w:rPr>
              <w:t>Arizona</w:t>
            </w:r>
          </w:p>
        </w:tc>
        <w:tc>
          <w:tcPr>
            <w:tcW w:w="4675" w:type="dxa"/>
            <w:tcBorders>
              <w:left w:val="single" w:sz="4" w:space="0" w:color="auto"/>
            </w:tcBorders>
          </w:tcPr>
          <w:p w14:paraId="419F1FEE" w14:textId="5845FB13" w:rsidR="00C623D1" w:rsidRPr="00715078" w:rsidRDefault="007C6C8A" w:rsidP="00CF5CDE">
            <w:pPr>
              <w:jc w:val="center"/>
              <w:rPr>
                <w:rFonts w:asciiTheme="majorBidi" w:hAnsiTheme="majorBidi" w:cstheme="majorBidi"/>
                <w:b/>
                <w:bCs/>
                <w:sz w:val="24"/>
                <w:szCs w:val="24"/>
              </w:rPr>
            </w:pPr>
            <w:r>
              <w:rPr>
                <w:rFonts w:asciiTheme="majorBidi" w:hAnsiTheme="majorBidi" w:cstheme="majorBidi"/>
                <w:b/>
                <w:bCs/>
                <w:sz w:val="24"/>
                <w:szCs w:val="24"/>
              </w:rPr>
              <w:t>—</w:t>
            </w:r>
          </w:p>
        </w:tc>
      </w:tr>
      <w:tr w:rsidR="00C623D1" w:rsidRPr="00715078" w14:paraId="76D95183" w14:textId="77777777" w:rsidTr="00CF5CDE">
        <w:tc>
          <w:tcPr>
            <w:tcW w:w="4675" w:type="dxa"/>
            <w:tcBorders>
              <w:right w:val="single" w:sz="4" w:space="0" w:color="auto"/>
            </w:tcBorders>
          </w:tcPr>
          <w:p w14:paraId="50DAB55F" w14:textId="77777777" w:rsidR="00C623D1" w:rsidRPr="00715078" w:rsidRDefault="00C623D1" w:rsidP="00CF5CDE">
            <w:pPr>
              <w:jc w:val="center"/>
              <w:rPr>
                <w:rFonts w:asciiTheme="majorBidi" w:hAnsiTheme="majorBidi" w:cstheme="majorBidi"/>
                <w:b/>
                <w:bCs/>
                <w:sz w:val="24"/>
                <w:szCs w:val="24"/>
              </w:rPr>
            </w:pPr>
            <w:r w:rsidRPr="00715078">
              <w:rPr>
                <w:rFonts w:asciiTheme="majorBidi" w:hAnsiTheme="majorBidi" w:cstheme="majorBidi"/>
                <w:sz w:val="24"/>
                <w:szCs w:val="24"/>
              </w:rPr>
              <w:t>Arkansas</w:t>
            </w:r>
          </w:p>
        </w:tc>
        <w:tc>
          <w:tcPr>
            <w:tcW w:w="4675" w:type="dxa"/>
            <w:tcBorders>
              <w:left w:val="single" w:sz="4" w:space="0" w:color="auto"/>
            </w:tcBorders>
          </w:tcPr>
          <w:p w14:paraId="716CD2A1" w14:textId="0586A54C" w:rsidR="00C623D1" w:rsidRPr="00715078" w:rsidRDefault="007C6C8A" w:rsidP="00CF5CDE">
            <w:pPr>
              <w:jc w:val="center"/>
              <w:rPr>
                <w:rFonts w:asciiTheme="majorBidi" w:hAnsiTheme="majorBidi" w:cstheme="majorBidi"/>
                <w:b/>
                <w:bCs/>
                <w:sz w:val="24"/>
                <w:szCs w:val="24"/>
              </w:rPr>
            </w:pPr>
            <w:r>
              <w:rPr>
                <w:rFonts w:asciiTheme="majorBidi" w:hAnsiTheme="majorBidi" w:cstheme="majorBidi"/>
                <w:b/>
                <w:bCs/>
                <w:sz w:val="24"/>
                <w:szCs w:val="24"/>
              </w:rPr>
              <w:t>—</w:t>
            </w:r>
          </w:p>
        </w:tc>
      </w:tr>
      <w:tr w:rsidR="00C623D1" w:rsidRPr="00715078" w14:paraId="59C99EB0" w14:textId="77777777" w:rsidTr="00CF5CDE">
        <w:tc>
          <w:tcPr>
            <w:tcW w:w="4675" w:type="dxa"/>
            <w:tcBorders>
              <w:right w:val="single" w:sz="4" w:space="0" w:color="auto"/>
            </w:tcBorders>
          </w:tcPr>
          <w:p w14:paraId="0A190581" w14:textId="77777777" w:rsidR="00C623D1" w:rsidRPr="00715078" w:rsidRDefault="00C623D1" w:rsidP="00CF5CDE">
            <w:pPr>
              <w:jc w:val="center"/>
              <w:rPr>
                <w:rFonts w:asciiTheme="majorBidi" w:hAnsiTheme="majorBidi" w:cstheme="majorBidi"/>
                <w:b/>
                <w:bCs/>
                <w:sz w:val="24"/>
                <w:szCs w:val="24"/>
              </w:rPr>
            </w:pPr>
            <w:r w:rsidRPr="00715078">
              <w:rPr>
                <w:rFonts w:asciiTheme="majorBidi" w:hAnsiTheme="majorBidi" w:cstheme="majorBidi"/>
                <w:sz w:val="24"/>
                <w:szCs w:val="24"/>
              </w:rPr>
              <w:t>California</w:t>
            </w:r>
          </w:p>
        </w:tc>
        <w:tc>
          <w:tcPr>
            <w:tcW w:w="4675" w:type="dxa"/>
            <w:tcBorders>
              <w:left w:val="single" w:sz="4" w:space="0" w:color="auto"/>
            </w:tcBorders>
          </w:tcPr>
          <w:p w14:paraId="7CF4E387" w14:textId="62246A3F" w:rsidR="00C623D1" w:rsidRPr="00715078" w:rsidRDefault="007C6C8A" w:rsidP="00CF5CDE">
            <w:pPr>
              <w:jc w:val="center"/>
              <w:rPr>
                <w:rFonts w:asciiTheme="majorBidi" w:hAnsiTheme="majorBidi" w:cstheme="majorBidi"/>
                <w:b/>
                <w:bCs/>
                <w:sz w:val="24"/>
                <w:szCs w:val="24"/>
              </w:rPr>
            </w:pPr>
            <w:r>
              <w:rPr>
                <w:rFonts w:asciiTheme="majorBidi" w:hAnsiTheme="majorBidi" w:cstheme="majorBidi"/>
                <w:b/>
                <w:bCs/>
                <w:sz w:val="24"/>
                <w:szCs w:val="24"/>
              </w:rPr>
              <w:t>—</w:t>
            </w:r>
          </w:p>
        </w:tc>
      </w:tr>
      <w:tr w:rsidR="00C623D1" w:rsidRPr="00715078" w14:paraId="080AFDB2" w14:textId="77777777" w:rsidTr="00CF5CDE">
        <w:tc>
          <w:tcPr>
            <w:tcW w:w="4675" w:type="dxa"/>
            <w:tcBorders>
              <w:right w:val="single" w:sz="4" w:space="0" w:color="auto"/>
            </w:tcBorders>
          </w:tcPr>
          <w:p w14:paraId="26D9AE77" w14:textId="77777777" w:rsidR="00C623D1" w:rsidRPr="00715078" w:rsidRDefault="00C623D1" w:rsidP="00CF5CDE">
            <w:pPr>
              <w:jc w:val="center"/>
              <w:rPr>
                <w:rFonts w:asciiTheme="majorBidi" w:hAnsiTheme="majorBidi" w:cstheme="majorBidi"/>
                <w:b/>
                <w:bCs/>
                <w:sz w:val="24"/>
                <w:szCs w:val="24"/>
              </w:rPr>
            </w:pPr>
            <w:r w:rsidRPr="00715078">
              <w:rPr>
                <w:rFonts w:asciiTheme="majorBidi" w:hAnsiTheme="majorBidi" w:cstheme="majorBidi"/>
                <w:sz w:val="24"/>
                <w:szCs w:val="24"/>
              </w:rPr>
              <w:t>Colorado</w:t>
            </w:r>
          </w:p>
        </w:tc>
        <w:tc>
          <w:tcPr>
            <w:tcW w:w="4675" w:type="dxa"/>
            <w:tcBorders>
              <w:left w:val="single" w:sz="4" w:space="0" w:color="auto"/>
            </w:tcBorders>
          </w:tcPr>
          <w:p w14:paraId="0806CD9F" w14:textId="4952FF04" w:rsidR="00C623D1" w:rsidRPr="00715078" w:rsidRDefault="007C6C8A" w:rsidP="00CF5CDE">
            <w:pPr>
              <w:jc w:val="center"/>
              <w:rPr>
                <w:rFonts w:asciiTheme="majorBidi" w:hAnsiTheme="majorBidi" w:cstheme="majorBidi"/>
                <w:b/>
                <w:bCs/>
                <w:sz w:val="24"/>
                <w:szCs w:val="24"/>
              </w:rPr>
            </w:pPr>
            <w:r>
              <w:rPr>
                <w:rFonts w:asciiTheme="majorBidi" w:hAnsiTheme="majorBidi" w:cstheme="majorBidi"/>
                <w:b/>
                <w:bCs/>
                <w:sz w:val="24"/>
                <w:szCs w:val="24"/>
              </w:rPr>
              <w:t>—</w:t>
            </w:r>
          </w:p>
        </w:tc>
      </w:tr>
      <w:tr w:rsidR="007C6C8A" w:rsidRPr="00715078" w14:paraId="34B83DE6" w14:textId="77777777" w:rsidTr="00CF5CDE">
        <w:tc>
          <w:tcPr>
            <w:tcW w:w="4675" w:type="dxa"/>
            <w:tcBorders>
              <w:right w:val="single" w:sz="4" w:space="0" w:color="auto"/>
            </w:tcBorders>
          </w:tcPr>
          <w:p w14:paraId="28B33A3B" w14:textId="77777777" w:rsidR="007C6C8A" w:rsidRPr="00715078" w:rsidRDefault="007C6C8A" w:rsidP="007C6C8A">
            <w:pPr>
              <w:jc w:val="center"/>
              <w:rPr>
                <w:rFonts w:asciiTheme="majorBidi" w:hAnsiTheme="majorBidi" w:cstheme="majorBidi"/>
                <w:b/>
                <w:bCs/>
                <w:sz w:val="24"/>
                <w:szCs w:val="24"/>
              </w:rPr>
            </w:pPr>
            <w:r w:rsidRPr="00715078">
              <w:rPr>
                <w:rFonts w:asciiTheme="majorBidi" w:hAnsiTheme="majorBidi" w:cstheme="majorBidi"/>
                <w:sz w:val="24"/>
                <w:szCs w:val="24"/>
              </w:rPr>
              <w:t>Connecticut</w:t>
            </w:r>
          </w:p>
        </w:tc>
        <w:tc>
          <w:tcPr>
            <w:tcW w:w="4675" w:type="dxa"/>
            <w:tcBorders>
              <w:left w:val="single" w:sz="4" w:space="0" w:color="auto"/>
            </w:tcBorders>
          </w:tcPr>
          <w:p w14:paraId="7ECDB57B" w14:textId="575A2772" w:rsidR="007C6C8A" w:rsidRPr="00715078" w:rsidRDefault="007C6C8A" w:rsidP="007C6C8A">
            <w:pPr>
              <w:jc w:val="center"/>
              <w:rPr>
                <w:rFonts w:asciiTheme="majorBidi" w:hAnsiTheme="majorBidi" w:cstheme="majorBidi"/>
                <w:b/>
                <w:bCs/>
                <w:sz w:val="24"/>
                <w:szCs w:val="24"/>
              </w:rPr>
            </w:pPr>
            <w:r>
              <w:rPr>
                <w:rFonts w:asciiTheme="majorBidi" w:hAnsiTheme="majorBidi" w:cstheme="majorBidi"/>
                <w:b/>
                <w:bCs/>
                <w:sz w:val="24"/>
                <w:szCs w:val="24"/>
              </w:rPr>
              <w:t>—</w:t>
            </w:r>
          </w:p>
        </w:tc>
      </w:tr>
      <w:tr w:rsidR="007C6C8A" w:rsidRPr="00715078" w14:paraId="2493ECBC" w14:textId="77777777" w:rsidTr="00CF5CDE">
        <w:tc>
          <w:tcPr>
            <w:tcW w:w="4675" w:type="dxa"/>
            <w:tcBorders>
              <w:right w:val="single" w:sz="4" w:space="0" w:color="auto"/>
            </w:tcBorders>
          </w:tcPr>
          <w:p w14:paraId="1B2B711B" w14:textId="77777777" w:rsidR="007C6C8A" w:rsidRPr="00715078" w:rsidRDefault="007C6C8A" w:rsidP="007C6C8A">
            <w:pPr>
              <w:jc w:val="center"/>
              <w:rPr>
                <w:rFonts w:asciiTheme="majorBidi" w:hAnsiTheme="majorBidi" w:cstheme="majorBidi"/>
                <w:b/>
                <w:bCs/>
                <w:sz w:val="24"/>
                <w:szCs w:val="24"/>
              </w:rPr>
            </w:pPr>
            <w:r w:rsidRPr="00715078">
              <w:rPr>
                <w:rFonts w:asciiTheme="majorBidi" w:hAnsiTheme="majorBidi" w:cstheme="majorBidi"/>
                <w:sz w:val="24"/>
                <w:szCs w:val="24"/>
              </w:rPr>
              <w:t>Delaware</w:t>
            </w:r>
          </w:p>
        </w:tc>
        <w:tc>
          <w:tcPr>
            <w:tcW w:w="4675" w:type="dxa"/>
            <w:tcBorders>
              <w:left w:val="single" w:sz="4" w:space="0" w:color="auto"/>
            </w:tcBorders>
          </w:tcPr>
          <w:p w14:paraId="6C9ED666" w14:textId="27D55551" w:rsidR="007C6C8A" w:rsidRPr="00715078" w:rsidRDefault="007C6C8A" w:rsidP="007C6C8A">
            <w:pPr>
              <w:jc w:val="center"/>
              <w:rPr>
                <w:rFonts w:asciiTheme="majorBidi" w:hAnsiTheme="majorBidi" w:cstheme="majorBidi"/>
                <w:b/>
                <w:bCs/>
                <w:sz w:val="24"/>
                <w:szCs w:val="24"/>
              </w:rPr>
            </w:pPr>
            <w:r>
              <w:rPr>
                <w:rFonts w:asciiTheme="majorBidi" w:hAnsiTheme="majorBidi" w:cstheme="majorBidi"/>
                <w:b/>
                <w:bCs/>
                <w:sz w:val="24"/>
                <w:szCs w:val="24"/>
              </w:rPr>
              <w:t>—</w:t>
            </w:r>
          </w:p>
        </w:tc>
      </w:tr>
      <w:tr w:rsidR="007C6C8A" w:rsidRPr="00715078" w14:paraId="24E27201" w14:textId="77777777" w:rsidTr="00CF5CDE">
        <w:tc>
          <w:tcPr>
            <w:tcW w:w="4675" w:type="dxa"/>
            <w:tcBorders>
              <w:right w:val="single" w:sz="4" w:space="0" w:color="auto"/>
            </w:tcBorders>
          </w:tcPr>
          <w:p w14:paraId="59EDAE81" w14:textId="77777777" w:rsidR="007C6C8A" w:rsidRPr="00715078" w:rsidRDefault="007C6C8A" w:rsidP="007C6C8A">
            <w:pPr>
              <w:jc w:val="center"/>
              <w:rPr>
                <w:rFonts w:asciiTheme="majorBidi" w:hAnsiTheme="majorBidi" w:cstheme="majorBidi"/>
                <w:b/>
                <w:bCs/>
                <w:sz w:val="24"/>
                <w:szCs w:val="24"/>
              </w:rPr>
            </w:pPr>
            <w:r w:rsidRPr="00715078">
              <w:rPr>
                <w:rFonts w:asciiTheme="majorBidi" w:hAnsiTheme="majorBidi" w:cstheme="majorBidi"/>
                <w:sz w:val="24"/>
                <w:szCs w:val="24"/>
              </w:rPr>
              <w:t>District of Columbia</w:t>
            </w:r>
          </w:p>
        </w:tc>
        <w:tc>
          <w:tcPr>
            <w:tcW w:w="4675" w:type="dxa"/>
            <w:tcBorders>
              <w:left w:val="single" w:sz="4" w:space="0" w:color="auto"/>
            </w:tcBorders>
          </w:tcPr>
          <w:p w14:paraId="0E4C6C46" w14:textId="56E60BCF" w:rsidR="007C6C8A" w:rsidRPr="00715078" w:rsidRDefault="007C6C8A" w:rsidP="007C6C8A">
            <w:pPr>
              <w:jc w:val="center"/>
              <w:rPr>
                <w:rFonts w:asciiTheme="majorBidi" w:hAnsiTheme="majorBidi" w:cstheme="majorBidi"/>
                <w:b/>
                <w:bCs/>
                <w:sz w:val="24"/>
                <w:szCs w:val="24"/>
              </w:rPr>
            </w:pPr>
            <w:r>
              <w:rPr>
                <w:rFonts w:asciiTheme="majorBidi" w:hAnsiTheme="majorBidi" w:cstheme="majorBidi"/>
                <w:b/>
                <w:bCs/>
                <w:sz w:val="24"/>
                <w:szCs w:val="24"/>
              </w:rPr>
              <w:t>—</w:t>
            </w:r>
          </w:p>
        </w:tc>
      </w:tr>
      <w:tr w:rsidR="007C6C8A" w:rsidRPr="00715078" w14:paraId="772BE9EB" w14:textId="77777777" w:rsidTr="00CF5CDE">
        <w:tc>
          <w:tcPr>
            <w:tcW w:w="4675" w:type="dxa"/>
            <w:tcBorders>
              <w:right w:val="single" w:sz="4" w:space="0" w:color="auto"/>
            </w:tcBorders>
          </w:tcPr>
          <w:p w14:paraId="1E3C4929" w14:textId="77777777" w:rsidR="007C6C8A" w:rsidRPr="00715078" w:rsidRDefault="007C6C8A" w:rsidP="007C6C8A">
            <w:pPr>
              <w:jc w:val="center"/>
              <w:rPr>
                <w:rFonts w:asciiTheme="majorBidi" w:hAnsiTheme="majorBidi" w:cstheme="majorBidi"/>
                <w:b/>
                <w:bCs/>
                <w:sz w:val="24"/>
                <w:szCs w:val="24"/>
              </w:rPr>
            </w:pPr>
            <w:r w:rsidRPr="00715078">
              <w:rPr>
                <w:rFonts w:asciiTheme="majorBidi" w:hAnsiTheme="majorBidi" w:cstheme="majorBidi"/>
                <w:sz w:val="24"/>
                <w:szCs w:val="24"/>
              </w:rPr>
              <w:t>Florida</w:t>
            </w:r>
          </w:p>
        </w:tc>
        <w:tc>
          <w:tcPr>
            <w:tcW w:w="4675" w:type="dxa"/>
            <w:tcBorders>
              <w:left w:val="single" w:sz="4" w:space="0" w:color="auto"/>
            </w:tcBorders>
          </w:tcPr>
          <w:p w14:paraId="09CF7799" w14:textId="4542DB5F" w:rsidR="007C6C8A" w:rsidRPr="00715078" w:rsidRDefault="007C6C8A" w:rsidP="007C6C8A">
            <w:pPr>
              <w:jc w:val="center"/>
              <w:rPr>
                <w:rFonts w:asciiTheme="majorBidi" w:hAnsiTheme="majorBidi" w:cstheme="majorBidi"/>
                <w:b/>
                <w:bCs/>
                <w:sz w:val="24"/>
                <w:szCs w:val="24"/>
              </w:rPr>
            </w:pPr>
            <w:r>
              <w:rPr>
                <w:rFonts w:asciiTheme="majorBidi" w:hAnsiTheme="majorBidi" w:cstheme="majorBidi"/>
                <w:b/>
                <w:bCs/>
                <w:sz w:val="24"/>
                <w:szCs w:val="24"/>
              </w:rPr>
              <w:t>—</w:t>
            </w:r>
          </w:p>
        </w:tc>
      </w:tr>
      <w:tr w:rsidR="007C6C8A" w:rsidRPr="00715078" w14:paraId="647A1546" w14:textId="77777777" w:rsidTr="00CF5CDE">
        <w:tc>
          <w:tcPr>
            <w:tcW w:w="4675" w:type="dxa"/>
            <w:tcBorders>
              <w:right w:val="single" w:sz="4" w:space="0" w:color="auto"/>
            </w:tcBorders>
          </w:tcPr>
          <w:p w14:paraId="6AB9C532" w14:textId="77777777" w:rsidR="007C6C8A" w:rsidRPr="00715078" w:rsidRDefault="007C6C8A" w:rsidP="007C6C8A">
            <w:pPr>
              <w:jc w:val="center"/>
              <w:rPr>
                <w:rFonts w:asciiTheme="majorBidi" w:hAnsiTheme="majorBidi" w:cstheme="majorBidi"/>
                <w:b/>
                <w:bCs/>
                <w:sz w:val="24"/>
                <w:szCs w:val="24"/>
              </w:rPr>
            </w:pPr>
            <w:r w:rsidRPr="00715078">
              <w:rPr>
                <w:rFonts w:asciiTheme="majorBidi" w:hAnsiTheme="majorBidi" w:cstheme="majorBidi"/>
                <w:sz w:val="24"/>
                <w:szCs w:val="24"/>
              </w:rPr>
              <w:t>Georgia</w:t>
            </w:r>
          </w:p>
        </w:tc>
        <w:tc>
          <w:tcPr>
            <w:tcW w:w="4675" w:type="dxa"/>
            <w:tcBorders>
              <w:left w:val="single" w:sz="4" w:space="0" w:color="auto"/>
            </w:tcBorders>
          </w:tcPr>
          <w:p w14:paraId="73CEED7F" w14:textId="1A260D98" w:rsidR="007C6C8A" w:rsidRPr="004F4B9A" w:rsidRDefault="007C6C8A" w:rsidP="007C6C8A">
            <w:pPr>
              <w:jc w:val="center"/>
              <w:rPr>
                <w:rFonts w:asciiTheme="majorBidi" w:hAnsiTheme="majorBidi" w:cstheme="majorBidi"/>
                <w:sz w:val="24"/>
                <w:szCs w:val="24"/>
              </w:rPr>
            </w:pPr>
            <w:r w:rsidRPr="004F4B9A">
              <w:rPr>
                <w:rFonts w:asciiTheme="majorBidi" w:hAnsiTheme="majorBidi" w:cstheme="majorBidi"/>
                <w:sz w:val="24"/>
                <w:szCs w:val="24"/>
              </w:rPr>
              <w:t>—</w:t>
            </w:r>
          </w:p>
        </w:tc>
      </w:tr>
      <w:tr w:rsidR="007C6C8A" w:rsidRPr="00715078" w14:paraId="0EDF3D70" w14:textId="77777777" w:rsidTr="00CF5CDE">
        <w:tc>
          <w:tcPr>
            <w:tcW w:w="4675" w:type="dxa"/>
            <w:tcBorders>
              <w:right w:val="single" w:sz="4" w:space="0" w:color="auto"/>
            </w:tcBorders>
          </w:tcPr>
          <w:p w14:paraId="3A8F0D40" w14:textId="77777777" w:rsidR="007C6C8A" w:rsidRPr="00715078" w:rsidRDefault="007C6C8A" w:rsidP="007C6C8A">
            <w:pPr>
              <w:jc w:val="center"/>
              <w:rPr>
                <w:rFonts w:asciiTheme="majorBidi" w:hAnsiTheme="majorBidi" w:cstheme="majorBidi"/>
                <w:b/>
                <w:bCs/>
                <w:sz w:val="24"/>
                <w:szCs w:val="24"/>
              </w:rPr>
            </w:pPr>
            <w:r w:rsidRPr="00715078">
              <w:rPr>
                <w:rFonts w:asciiTheme="majorBidi" w:hAnsiTheme="majorBidi" w:cstheme="majorBidi"/>
                <w:sz w:val="24"/>
                <w:szCs w:val="24"/>
              </w:rPr>
              <w:t>Illinois</w:t>
            </w:r>
          </w:p>
        </w:tc>
        <w:tc>
          <w:tcPr>
            <w:tcW w:w="4675" w:type="dxa"/>
            <w:tcBorders>
              <w:left w:val="single" w:sz="4" w:space="0" w:color="auto"/>
            </w:tcBorders>
          </w:tcPr>
          <w:p w14:paraId="1CFC1C88" w14:textId="5775ABC6" w:rsidR="007C6C8A" w:rsidRPr="004F4B9A" w:rsidRDefault="004F4B9A" w:rsidP="007C6C8A">
            <w:pPr>
              <w:jc w:val="center"/>
              <w:rPr>
                <w:rFonts w:asciiTheme="majorBidi" w:hAnsiTheme="majorBidi" w:cstheme="majorBidi"/>
                <w:sz w:val="24"/>
                <w:szCs w:val="24"/>
              </w:rPr>
            </w:pPr>
            <w:r w:rsidRPr="004F4B9A">
              <w:rPr>
                <w:rFonts w:asciiTheme="majorBidi" w:hAnsiTheme="majorBidi" w:cstheme="majorBidi"/>
                <w:sz w:val="24"/>
                <w:szCs w:val="24"/>
              </w:rPr>
              <w:t>0.037</w:t>
            </w:r>
          </w:p>
        </w:tc>
      </w:tr>
      <w:tr w:rsidR="007C6C8A" w:rsidRPr="00715078" w14:paraId="05C9A6B1" w14:textId="77777777" w:rsidTr="00CF5CDE">
        <w:tc>
          <w:tcPr>
            <w:tcW w:w="4675" w:type="dxa"/>
            <w:tcBorders>
              <w:right w:val="single" w:sz="4" w:space="0" w:color="auto"/>
            </w:tcBorders>
          </w:tcPr>
          <w:p w14:paraId="2544B5B9" w14:textId="77777777" w:rsidR="007C6C8A" w:rsidRPr="00715078" w:rsidRDefault="007C6C8A" w:rsidP="007C6C8A">
            <w:pPr>
              <w:jc w:val="center"/>
              <w:rPr>
                <w:rFonts w:asciiTheme="majorBidi" w:hAnsiTheme="majorBidi" w:cstheme="majorBidi"/>
                <w:b/>
                <w:bCs/>
                <w:sz w:val="24"/>
                <w:szCs w:val="24"/>
              </w:rPr>
            </w:pPr>
            <w:r w:rsidRPr="00715078">
              <w:rPr>
                <w:rFonts w:asciiTheme="majorBidi" w:hAnsiTheme="majorBidi" w:cstheme="majorBidi"/>
                <w:sz w:val="24"/>
                <w:szCs w:val="24"/>
              </w:rPr>
              <w:t>Indiana</w:t>
            </w:r>
          </w:p>
        </w:tc>
        <w:tc>
          <w:tcPr>
            <w:tcW w:w="4675" w:type="dxa"/>
            <w:tcBorders>
              <w:left w:val="single" w:sz="4" w:space="0" w:color="auto"/>
            </w:tcBorders>
          </w:tcPr>
          <w:p w14:paraId="57FC5159" w14:textId="258C619E" w:rsidR="007C6C8A" w:rsidRPr="004F4B9A" w:rsidRDefault="007C6C8A" w:rsidP="007C6C8A">
            <w:pPr>
              <w:jc w:val="center"/>
              <w:rPr>
                <w:rFonts w:asciiTheme="majorBidi" w:hAnsiTheme="majorBidi" w:cstheme="majorBidi"/>
                <w:sz w:val="24"/>
                <w:szCs w:val="24"/>
              </w:rPr>
            </w:pPr>
            <w:r w:rsidRPr="004F4B9A">
              <w:rPr>
                <w:rFonts w:asciiTheme="majorBidi" w:hAnsiTheme="majorBidi" w:cstheme="majorBidi"/>
                <w:sz w:val="24"/>
                <w:szCs w:val="24"/>
              </w:rPr>
              <w:t>—</w:t>
            </w:r>
          </w:p>
        </w:tc>
      </w:tr>
      <w:tr w:rsidR="007C6C8A" w:rsidRPr="00715078" w14:paraId="34077736" w14:textId="77777777" w:rsidTr="00CF5CDE">
        <w:tc>
          <w:tcPr>
            <w:tcW w:w="4675" w:type="dxa"/>
            <w:tcBorders>
              <w:right w:val="single" w:sz="4" w:space="0" w:color="auto"/>
            </w:tcBorders>
          </w:tcPr>
          <w:p w14:paraId="240C823C" w14:textId="77777777" w:rsidR="007C6C8A" w:rsidRPr="00715078" w:rsidRDefault="007C6C8A" w:rsidP="007C6C8A">
            <w:pPr>
              <w:jc w:val="center"/>
              <w:rPr>
                <w:rFonts w:asciiTheme="majorBidi" w:hAnsiTheme="majorBidi" w:cstheme="majorBidi"/>
                <w:b/>
                <w:bCs/>
                <w:sz w:val="24"/>
                <w:szCs w:val="24"/>
              </w:rPr>
            </w:pPr>
            <w:r w:rsidRPr="00715078">
              <w:rPr>
                <w:rFonts w:asciiTheme="majorBidi" w:hAnsiTheme="majorBidi" w:cstheme="majorBidi"/>
                <w:sz w:val="24"/>
                <w:szCs w:val="24"/>
              </w:rPr>
              <w:t>Iowa</w:t>
            </w:r>
          </w:p>
        </w:tc>
        <w:tc>
          <w:tcPr>
            <w:tcW w:w="4675" w:type="dxa"/>
            <w:tcBorders>
              <w:left w:val="single" w:sz="4" w:space="0" w:color="auto"/>
            </w:tcBorders>
          </w:tcPr>
          <w:p w14:paraId="0EECF88A" w14:textId="6026363F" w:rsidR="007C6C8A" w:rsidRPr="004F4B9A" w:rsidRDefault="007C6C8A" w:rsidP="007C6C8A">
            <w:pPr>
              <w:jc w:val="center"/>
              <w:rPr>
                <w:rFonts w:asciiTheme="majorBidi" w:hAnsiTheme="majorBidi" w:cstheme="majorBidi"/>
                <w:sz w:val="24"/>
                <w:szCs w:val="24"/>
              </w:rPr>
            </w:pPr>
            <w:r w:rsidRPr="004F4B9A">
              <w:rPr>
                <w:rFonts w:asciiTheme="majorBidi" w:hAnsiTheme="majorBidi" w:cstheme="majorBidi"/>
                <w:sz w:val="24"/>
                <w:szCs w:val="24"/>
              </w:rPr>
              <w:t>—</w:t>
            </w:r>
          </w:p>
        </w:tc>
      </w:tr>
      <w:tr w:rsidR="007C6C8A" w:rsidRPr="00715078" w14:paraId="535E7528" w14:textId="77777777" w:rsidTr="00CF5CDE">
        <w:tc>
          <w:tcPr>
            <w:tcW w:w="4675" w:type="dxa"/>
            <w:tcBorders>
              <w:right w:val="single" w:sz="4" w:space="0" w:color="auto"/>
            </w:tcBorders>
          </w:tcPr>
          <w:p w14:paraId="1D752B7C" w14:textId="77777777" w:rsidR="007C6C8A" w:rsidRPr="00715078" w:rsidRDefault="007C6C8A" w:rsidP="007C6C8A">
            <w:pPr>
              <w:jc w:val="center"/>
              <w:rPr>
                <w:rFonts w:asciiTheme="majorBidi" w:hAnsiTheme="majorBidi" w:cstheme="majorBidi"/>
                <w:b/>
                <w:bCs/>
                <w:sz w:val="24"/>
                <w:szCs w:val="24"/>
              </w:rPr>
            </w:pPr>
            <w:r w:rsidRPr="00715078">
              <w:rPr>
                <w:rFonts w:asciiTheme="majorBidi" w:hAnsiTheme="majorBidi" w:cstheme="majorBidi"/>
                <w:sz w:val="24"/>
                <w:szCs w:val="24"/>
              </w:rPr>
              <w:t>Kansas</w:t>
            </w:r>
          </w:p>
        </w:tc>
        <w:tc>
          <w:tcPr>
            <w:tcW w:w="4675" w:type="dxa"/>
            <w:tcBorders>
              <w:left w:val="single" w:sz="4" w:space="0" w:color="auto"/>
            </w:tcBorders>
          </w:tcPr>
          <w:p w14:paraId="3311F7DC" w14:textId="40D6A554" w:rsidR="007C6C8A" w:rsidRPr="004F4B9A" w:rsidRDefault="007C6C8A" w:rsidP="007C6C8A">
            <w:pPr>
              <w:jc w:val="center"/>
              <w:rPr>
                <w:rFonts w:asciiTheme="majorBidi" w:hAnsiTheme="majorBidi" w:cstheme="majorBidi"/>
                <w:sz w:val="24"/>
                <w:szCs w:val="24"/>
              </w:rPr>
            </w:pPr>
            <w:r w:rsidRPr="004F4B9A">
              <w:rPr>
                <w:rFonts w:asciiTheme="majorBidi" w:hAnsiTheme="majorBidi" w:cstheme="majorBidi"/>
                <w:sz w:val="24"/>
                <w:szCs w:val="24"/>
              </w:rPr>
              <w:t>—</w:t>
            </w:r>
          </w:p>
        </w:tc>
      </w:tr>
      <w:tr w:rsidR="007C6C8A" w:rsidRPr="00715078" w14:paraId="6ED0A389" w14:textId="77777777" w:rsidTr="00CF5CDE">
        <w:tc>
          <w:tcPr>
            <w:tcW w:w="4675" w:type="dxa"/>
            <w:tcBorders>
              <w:right w:val="single" w:sz="4" w:space="0" w:color="auto"/>
            </w:tcBorders>
          </w:tcPr>
          <w:p w14:paraId="69C16F3F" w14:textId="77777777" w:rsidR="007C6C8A" w:rsidRPr="00715078" w:rsidRDefault="007C6C8A" w:rsidP="007C6C8A">
            <w:pPr>
              <w:jc w:val="center"/>
              <w:rPr>
                <w:rFonts w:asciiTheme="majorBidi" w:hAnsiTheme="majorBidi" w:cstheme="majorBidi"/>
                <w:b/>
                <w:bCs/>
                <w:sz w:val="24"/>
                <w:szCs w:val="24"/>
              </w:rPr>
            </w:pPr>
            <w:r w:rsidRPr="00715078">
              <w:rPr>
                <w:rFonts w:asciiTheme="majorBidi" w:hAnsiTheme="majorBidi" w:cstheme="majorBidi"/>
                <w:sz w:val="24"/>
                <w:szCs w:val="24"/>
              </w:rPr>
              <w:t>Kentucky</w:t>
            </w:r>
          </w:p>
        </w:tc>
        <w:tc>
          <w:tcPr>
            <w:tcW w:w="4675" w:type="dxa"/>
            <w:tcBorders>
              <w:left w:val="single" w:sz="4" w:space="0" w:color="auto"/>
            </w:tcBorders>
          </w:tcPr>
          <w:p w14:paraId="3CD5BD6C" w14:textId="32205676" w:rsidR="007C6C8A" w:rsidRPr="004F4B9A" w:rsidRDefault="007C6C8A" w:rsidP="007C6C8A">
            <w:pPr>
              <w:jc w:val="center"/>
              <w:rPr>
                <w:rFonts w:asciiTheme="majorBidi" w:hAnsiTheme="majorBidi" w:cstheme="majorBidi"/>
                <w:sz w:val="24"/>
                <w:szCs w:val="24"/>
              </w:rPr>
            </w:pPr>
            <w:r w:rsidRPr="004F4B9A">
              <w:rPr>
                <w:rFonts w:asciiTheme="majorBidi" w:hAnsiTheme="majorBidi" w:cstheme="majorBidi"/>
                <w:sz w:val="24"/>
                <w:szCs w:val="24"/>
              </w:rPr>
              <w:t>—</w:t>
            </w:r>
          </w:p>
        </w:tc>
      </w:tr>
      <w:tr w:rsidR="007C6C8A" w:rsidRPr="00715078" w14:paraId="3533C6A3" w14:textId="77777777" w:rsidTr="00CF5CDE">
        <w:tc>
          <w:tcPr>
            <w:tcW w:w="4675" w:type="dxa"/>
            <w:tcBorders>
              <w:right w:val="single" w:sz="4" w:space="0" w:color="auto"/>
            </w:tcBorders>
          </w:tcPr>
          <w:p w14:paraId="551EADAA" w14:textId="77777777" w:rsidR="007C6C8A" w:rsidRPr="00715078" w:rsidRDefault="007C6C8A" w:rsidP="007C6C8A">
            <w:pPr>
              <w:jc w:val="center"/>
              <w:rPr>
                <w:rFonts w:asciiTheme="majorBidi" w:hAnsiTheme="majorBidi" w:cstheme="majorBidi"/>
                <w:b/>
                <w:bCs/>
                <w:sz w:val="24"/>
                <w:szCs w:val="24"/>
              </w:rPr>
            </w:pPr>
            <w:r w:rsidRPr="00715078">
              <w:rPr>
                <w:rFonts w:asciiTheme="majorBidi" w:hAnsiTheme="majorBidi" w:cstheme="majorBidi"/>
                <w:sz w:val="24"/>
                <w:szCs w:val="24"/>
              </w:rPr>
              <w:t>Louisiana</w:t>
            </w:r>
          </w:p>
        </w:tc>
        <w:tc>
          <w:tcPr>
            <w:tcW w:w="4675" w:type="dxa"/>
            <w:tcBorders>
              <w:left w:val="single" w:sz="4" w:space="0" w:color="auto"/>
            </w:tcBorders>
          </w:tcPr>
          <w:p w14:paraId="14F92602" w14:textId="5F6B40CA" w:rsidR="007C6C8A" w:rsidRPr="004F4B9A" w:rsidRDefault="007C6C8A" w:rsidP="007C6C8A">
            <w:pPr>
              <w:jc w:val="center"/>
              <w:rPr>
                <w:rFonts w:asciiTheme="majorBidi" w:hAnsiTheme="majorBidi" w:cstheme="majorBidi"/>
                <w:sz w:val="24"/>
                <w:szCs w:val="24"/>
              </w:rPr>
            </w:pPr>
            <w:r w:rsidRPr="004F4B9A">
              <w:rPr>
                <w:rFonts w:asciiTheme="majorBidi" w:hAnsiTheme="majorBidi" w:cstheme="majorBidi"/>
                <w:sz w:val="24"/>
                <w:szCs w:val="24"/>
              </w:rPr>
              <w:t>—</w:t>
            </w:r>
          </w:p>
        </w:tc>
      </w:tr>
      <w:tr w:rsidR="007C6C8A" w:rsidRPr="00715078" w14:paraId="71093E22" w14:textId="77777777" w:rsidTr="00CF5CDE">
        <w:tc>
          <w:tcPr>
            <w:tcW w:w="4675" w:type="dxa"/>
            <w:tcBorders>
              <w:right w:val="single" w:sz="4" w:space="0" w:color="auto"/>
            </w:tcBorders>
          </w:tcPr>
          <w:p w14:paraId="1E581FA0" w14:textId="77777777" w:rsidR="007C6C8A" w:rsidRPr="00715078" w:rsidRDefault="007C6C8A" w:rsidP="007C6C8A">
            <w:pPr>
              <w:jc w:val="center"/>
              <w:rPr>
                <w:rFonts w:asciiTheme="majorBidi" w:hAnsiTheme="majorBidi" w:cstheme="majorBidi"/>
                <w:b/>
                <w:bCs/>
                <w:sz w:val="24"/>
                <w:szCs w:val="24"/>
              </w:rPr>
            </w:pPr>
            <w:r w:rsidRPr="00715078">
              <w:rPr>
                <w:rFonts w:asciiTheme="majorBidi" w:hAnsiTheme="majorBidi" w:cstheme="majorBidi"/>
                <w:sz w:val="24"/>
                <w:szCs w:val="24"/>
              </w:rPr>
              <w:t>Maine</w:t>
            </w:r>
          </w:p>
        </w:tc>
        <w:tc>
          <w:tcPr>
            <w:tcW w:w="4675" w:type="dxa"/>
            <w:tcBorders>
              <w:left w:val="single" w:sz="4" w:space="0" w:color="auto"/>
            </w:tcBorders>
          </w:tcPr>
          <w:p w14:paraId="35C210BF" w14:textId="6C21FCAE" w:rsidR="007C6C8A" w:rsidRPr="004F4B9A" w:rsidRDefault="004F4B9A" w:rsidP="007C6C8A">
            <w:pPr>
              <w:jc w:val="center"/>
              <w:rPr>
                <w:rFonts w:asciiTheme="majorBidi" w:hAnsiTheme="majorBidi" w:cstheme="majorBidi"/>
                <w:sz w:val="24"/>
                <w:szCs w:val="24"/>
              </w:rPr>
            </w:pPr>
            <w:r w:rsidRPr="004F4B9A">
              <w:rPr>
                <w:rFonts w:asciiTheme="majorBidi" w:hAnsiTheme="majorBidi" w:cstheme="majorBidi"/>
                <w:sz w:val="24"/>
                <w:szCs w:val="24"/>
              </w:rPr>
              <w:t>0.196</w:t>
            </w:r>
          </w:p>
        </w:tc>
      </w:tr>
      <w:tr w:rsidR="007C6C8A" w:rsidRPr="00715078" w14:paraId="77465B76" w14:textId="77777777" w:rsidTr="00CF5CDE">
        <w:tc>
          <w:tcPr>
            <w:tcW w:w="4675" w:type="dxa"/>
            <w:tcBorders>
              <w:right w:val="single" w:sz="4" w:space="0" w:color="auto"/>
            </w:tcBorders>
          </w:tcPr>
          <w:p w14:paraId="0AA19AE3" w14:textId="77777777" w:rsidR="007C6C8A" w:rsidRPr="00715078" w:rsidRDefault="007C6C8A" w:rsidP="007C6C8A">
            <w:pPr>
              <w:jc w:val="center"/>
              <w:rPr>
                <w:rFonts w:asciiTheme="majorBidi" w:hAnsiTheme="majorBidi" w:cstheme="majorBidi"/>
                <w:b/>
                <w:bCs/>
                <w:sz w:val="24"/>
                <w:szCs w:val="24"/>
              </w:rPr>
            </w:pPr>
            <w:r w:rsidRPr="00715078">
              <w:rPr>
                <w:rFonts w:asciiTheme="majorBidi" w:hAnsiTheme="majorBidi" w:cstheme="majorBidi"/>
                <w:sz w:val="24"/>
                <w:szCs w:val="24"/>
              </w:rPr>
              <w:t>Maryland</w:t>
            </w:r>
          </w:p>
        </w:tc>
        <w:tc>
          <w:tcPr>
            <w:tcW w:w="4675" w:type="dxa"/>
            <w:tcBorders>
              <w:left w:val="single" w:sz="4" w:space="0" w:color="auto"/>
            </w:tcBorders>
          </w:tcPr>
          <w:p w14:paraId="74BFA5BE" w14:textId="0B7AE230" w:rsidR="007C6C8A" w:rsidRPr="004F4B9A" w:rsidRDefault="004F4B9A" w:rsidP="007C6C8A">
            <w:pPr>
              <w:jc w:val="center"/>
              <w:rPr>
                <w:rFonts w:asciiTheme="majorBidi" w:hAnsiTheme="majorBidi" w:cstheme="majorBidi"/>
                <w:sz w:val="24"/>
                <w:szCs w:val="24"/>
              </w:rPr>
            </w:pPr>
            <w:r w:rsidRPr="004F4B9A">
              <w:rPr>
                <w:rFonts w:asciiTheme="majorBidi" w:hAnsiTheme="majorBidi" w:cstheme="majorBidi"/>
                <w:sz w:val="24"/>
                <w:szCs w:val="24"/>
              </w:rPr>
              <w:t>0.303</w:t>
            </w:r>
          </w:p>
        </w:tc>
      </w:tr>
      <w:tr w:rsidR="007C6C8A" w:rsidRPr="00715078" w14:paraId="462E9A71" w14:textId="77777777" w:rsidTr="00CF5CDE">
        <w:tc>
          <w:tcPr>
            <w:tcW w:w="4675" w:type="dxa"/>
            <w:tcBorders>
              <w:right w:val="single" w:sz="4" w:space="0" w:color="auto"/>
            </w:tcBorders>
          </w:tcPr>
          <w:p w14:paraId="612FBE5E" w14:textId="77777777" w:rsidR="007C6C8A" w:rsidRPr="00715078" w:rsidRDefault="007C6C8A" w:rsidP="007C6C8A">
            <w:pPr>
              <w:jc w:val="center"/>
              <w:rPr>
                <w:rFonts w:asciiTheme="majorBidi" w:hAnsiTheme="majorBidi" w:cstheme="majorBidi"/>
                <w:b/>
                <w:bCs/>
                <w:sz w:val="24"/>
                <w:szCs w:val="24"/>
              </w:rPr>
            </w:pPr>
            <w:r w:rsidRPr="00715078">
              <w:rPr>
                <w:rFonts w:asciiTheme="majorBidi" w:hAnsiTheme="majorBidi" w:cstheme="majorBidi"/>
                <w:sz w:val="24"/>
                <w:szCs w:val="24"/>
              </w:rPr>
              <w:t>Massachusetts</w:t>
            </w:r>
          </w:p>
        </w:tc>
        <w:tc>
          <w:tcPr>
            <w:tcW w:w="4675" w:type="dxa"/>
            <w:tcBorders>
              <w:left w:val="single" w:sz="4" w:space="0" w:color="auto"/>
            </w:tcBorders>
          </w:tcPr>
          <w:p w14:paraId="7FA709C4" w14:textId="663B0F17" w:rsidR="007C6C8A" w:rsidRPr="004F4B9A" w:rsidRDefault="007C6C8A" w:rsidP="007C6C8A">
            <w:pPr>
              <w:jc w:val="center"/>
              <w:rPr>
                <w:rFonts w:asciiTheme="majorBidi" w:hAnsiTheme="majorBidi" w:cstheme="majorBidi"/>
                <w:sz w:val="24"/>
                <w:szCs w:val="24"/>
              </w:rPr>
            </w:pPr>
            <w:r w:rsidRPr="004F4B9A">
              <w:rPr>
                <w:rFonts w:asciiTheme="majorBidi" w:hAnsiTheme="majorBidi" w:cstheme="majorBidi"/>
                <w:sz w:val="24"/>
                <w:szCs w:val="24"/>
              </w:rPr>
              <w:t>—</w:t>
            </w:r>
          </w:p>
        </w:tc>
      </w:tr>
      <w:tr w:rsidR="007C6C8A" w:rsidRPr="00715078" w14:paraId="2D26DA72" w14:textId="77777777" w:rsidTr="00CF5CDE">
        <w:tc>
          <w:tcPr>
            <w:tcW w:w="4675" w:type="dxa"/>
            <w:tcBorders>
              <w:right w:val="single" w:sz="4" w:space="0" w:color="auto"/>
            </w:tcBorders>
          </w:tcPr>
          <w:p w14:paraId="04E7ACCF" w14:textId="77777777" w:rsidR="007C6C8A" w:rsidRPr="00715078" w:rsidRDefault="007C6C8A" w:rsidP="007C6C8A">
            <w:pPr>
              <w:jc w:val="center"/>
              <w:rPr>
                <w:rFonts w:asciiTheme="majorBidi" w:hAnsiTheme="majorBidi" w:cstheme="majorBidi"/>
                <w:b/>
                <w:bCs/>
                <w:sz w:val="24"/>
                <w:szCs w:val="24"/>
              </w:rPr>
            </w:pPr>
            <w:r w:rsidRPr="00715078">
              <w:rPr>
                <w:rFonts w:asciiTheme="majorBidi" w:hAnsiTheme="majorBidi" w:cstheme="majorBidi"/>
                <w:sz w:val="24"/>
                <w:szCs w:val="24"/>
              </w:rPr>
              <w:t>Michigan</w:t>
            </w:r>
          </w:p>
        </w:tc>
        <w:tc>
          <w:tcPr>
            <w:tcW w:w="4675" w:type="dxa"/>
            <w:tcBorders>
              <w:left w:val="single" w:sz="4" w:space="0" w:color="auto"/>
            </w:tcBorders>
          </w:tcPr>
          <w:p w14:paraId="46DD26D0" w14:textId="6F208023" w:rsidR="007C6C8A" w:rsidRPr="004F4B9A" w:rsidRDefault="007C6C8A" w:rsidP="007C6C8A">
            <w:pPr>
              <w:jc w:val="center"/>
              <w:rPr>
                <w:rFonts w:asciiTheme="majorBidi" w:hAnsiTheme="majorBidi" w:cstheme="majorBidi"/>
                <w:sz w:val="24"/>
                <w:szCs w:val="24"/>
              </w:rPr>
            </w:pPr>
            <w:r w:rsidRPr="004F4B9A">
              <w:rPr>
                <w:rFonts w:asciiTheme="majorBidi" w:hAnsiTheme="majorBidi" w:cstheme="majorBidi"/>
                <w:sz w:val="24"/>
                <w:szCs w:val="24"/>
              </w:rPr>
              <w:t>—</w:t>
            </w:r>
          </w:p>
        </w:tc>
      </w:tr>
      <w:tr w:rsidR="007C6C8A" w:rsidRPr="00715078" w14:paraId="550247AC" w14:textId="77777777" w:rsidTr="00CF5CDE">
        <w:tc>
          <w:tcPr>
            <w:tcW w:w="4675" w:type="dxa"/>
            <w:tcBorders>
              <w:right w:val="single" w:sz="4" w:space="0" w:color="auto"/>
            </w:tcBorders>
          </w:tcPr>
          <w:p w14:paraId="46971BEF" w14:textId="77777777" w:rsidR="007C6C8A" w:rsidRPr="00715078" w:rsidRDefault="007C6C8A" w:rsidP="007C6C8A">
            <w:pPr>
              <w:jc w:val="center"/>
              <w:rPr>
                <w:rFonts w:asciiTheme="majorBidi" w:hAnsiTheme="majorBidi" w:cstheme="majorBidi"/>
                <w:b/>
                <w:bCs/>
                <w:sz w:val="24"/>
                <w:szCs w:val="24"/>
              </w:rPr>
            </w:pPr>
            <w:r w:rsidRPr="00715078">
              <w:rPr>
                <w:rFonts w:asciiTheme="majorBidi" w:hAnsiTheme="majorBidi" w:cstheme="majorBidi"/>
                <w:sz w:val="24"/>
                <w:szCs w:val="24"/>
              </w:rPr>
              <w:t>Minnesota</w:t>
            </w:r>
          </w:p>
        </w:tc>
        <w:tc>
          <w:tcPr>
            <w:tcW w:w="4675" w:type="dxa"/>
            <w:tcBorders>
              <w:left w:val="single" w:sz="4" w:space="0" w:color="auto"/>
            </w:tcBorders>
          </w:tcPr>
          <w:p w14:paraId="2E177578" w14:textId="6456EE10" w:rsidR="007C6C8A" w:rsidRPr="004F4B9A" w:rsidRDefault="007C6C8A" w:rsidP="007C6C8A">
            <w:pPr>
              <w:jc w:val="center"/>
              <w:rPr>
                <w:rFonts w:asciiTheme="majorBidi" w:hAnsiTheme="majorBidi" w:cstheme="majorBidi"/>
                <w:sz w:val="24"/>
                <w:szCs w:val="24"/>
              </w:rPr>
            </w:pPr>
            <w:r w:rsidRPr="004F4B9A">
              <w:rPr>
                <w:rFonts w:asciiTheme="majorBidi" w:hAnsiTheme="majorBidi" w:cstheme="majorBidi"/>
                <w:sz w:val="24"/>
                <w:szCs w:val="24"/>
              </w:rPr>
              <w:t>—</w:t>
            </w:r>
          </w:p>
        </w:tc>
      </w:tr>
      <w:tr w:rsidR="007C6C8A" w:rsidRPr="00715078" w14:paraId="3A82EBD3" w14:textId="77777777" w:rsidTr="00CF5CDE">
        <w:tc>
          <w:tcPr>
            <w:tcW w:w="4675" w:type="dxa"/>
            <w:tcBorders>
              <w:right w:val="single" w:sz="4" w:space="0" w:color="auto"/>
            </w:tcBorders>
          </w:tcPr>
          <w:p w14:paraId="53846B79" w14:textId="77777777" w:rsidR="007C6C8A" w:rsidRPr="00715078" w:rsidRDefault="007C6C8A" w:rsidP="007C6C8A">
            <w:pPr>
              <w:jc w:val="center"/>
              <w:rPr>
                <w:rFonts w:asciiTheme="majorBidi" w:hAnsiTheme="majorBidi" w:cstheme="majorBidi"/>
                <w:b/>
                <w:bCs/>
                <w:sz w:val="24"/>
                <w:szCs w:val="24"/>
              </w:rPr>
            </w:pPr>
            <w:r w:rsidRPr="00715078">
              <w:rPr>
                <w:rFonts w:asciiTheme="majorBidi" w:hAnsiTheme="majorBidi" w:cstheme="majorBidi"/>
                <w:sz w:val="24"/>
                <w:szCs w:val="24"/>
              </w:rPr>
              <w:t>Mississippi</w:t>
            </w:r>
          </w:p>
        </w:tc>
        <w:tc>
          <w:tcPr>
            <w:tcW w:w="4675" w:type="dxa"/>
            <w:tcBorders>
              <w:left w:val="single" w:sz="4" w:space="0" w:color="auto"/>
            </w:tcBorders>
          </w:tcPr>
          <w:p w14:paraId="1A1BE091" w14:textId="1B07D221" w:rsidR="007C6C8A" w:rsidRPr="004F4B9A" w:rsidRDefault="007C6C8A" w:rsidP="007C6C8A">
            <w:pPr>
              <w:jc w:val="center"/>
              <w:rPr>
                <w:rFonts w:asciiTheme="majorBidi" w:hAnsiTheme="majorBidi" w:cstheme="majorBidi"/>
                <w:sz w:val="24"/>
                <w:szCs w:val="24"/>
              </w:rPr>
            </w:pPr>
            <w:r w:rsidRPr="004F4B9A">
              <w:rPr>
                <w:rFonts w:asciiTheme="majorBidi" w:hAnsiTheme="majorBidi" w:cstheme="majorBidi"/>
                <w:sz w:val="24"/>
                <w:szCs w:val="24"/>
              </w:rPr>
              <w:t>—</w:t>
            </w:r>
          </w:p>
        </w:tc>
      </w:tr>
      <w:tr w:rsidR="007C6C8A" w:rsidRPr="00715078" w14:paraId="03FACAA9" w14:textId="77777777" w:rsidTr="00CF5CDE">
        <w:tc>
          <w:tcPr>
            <w:tcW w:w="4675" w:type="dxa"/>
            <w:tcBorders>
              <w:right w:val="single" w:sz="4" w:space="0" w:color="auto"/>
            </w:tcBorders>
          </w:tcPr>
          <w:p w14:paraId="4B9DCCA0" w14:textId="77777777" w:rsidR="007C6C8A" w:rsidRPr="00715078" w:rsidRDefault="007C6C8A" w:rsidP="007C6C8A">
            <w:pPr>
              <w:jc w:val="center"/>
              <w:rPr>
                <w:rFonts w:asciiTheme="majorBidi" w:hAnsiTheme="majorBidi" w:cstheme="majorBidi"/>
                <w:b/>
                <w:bCs/>
                <w:sz w:val="24"/>
                <w:szCs w:val="24"/>
              </w:rPr>
            </w:pPr>
            <w:r w:rsidRPr="00715078">
              <w:rPr>
                <w:rFonts w:asciiTheme="majorBidi" w:hAnsiTheme="majorBidi" w:cstheme="majorBidi"/>
                <w:sz w:val="24"/>
                <w:szCs w:val="24"/>
              </w:rPr>
              <w:t>Missouri</w:t>
            </w:r>
          </w:p>
        </w:tc>
        <w:tc>
          <w:tcPr>
            <w:tcW w:w="4675" w:type="dxa"/>
            <w:tcBorders>
              <w:left w:val="single" w:sz="4" w:space="0" w:color="auto"/>
            </w:tcBorders>
          </w:tcPr>
          <w:p w14:paraId="7FC00132" w14:textId="3DF3E5BA" w:rsidR="007C6C8A" w:rsidRPr="004F4B9A" w:rsidRDefault="007C6C8A" w:rsidP="007C6C8A">
            <w:pPr>
              <w:jc w:val="center"/>
              <w:rPr>
                <w:rFonts w:asciiTheme="majorBidi" w:hAnsiTheme="majorBidi" w:cstheme="majorBidi"/>
                <w:sz w:val="24"/>
                <w:szCs w:val="24"/>
              </w:rPr>
            </w:pPr>
            <w:r w:rsidRPr="004F4B9A">
              <w:rPr>
                <w:rFonts w:asciiTheme="majorBidi" w:hAnsiTheme="majorBidi" w:cstheme="majorBidi"/>
                <w:sz w:val="24"/>
                <w:szCs w:val="24"/>
              </w:rPr>
              <w:t>—</w:t>
            </w:r>
          </w:p>
        </w:tc>
      </w:tr>
      <w:tr w:rsidR="007C6C8A" w:rsidRPr="00715078" w14:paraId="3C751738" w14:textId="77777777" w:rsidTr="00CF5CDE">
        <w:tc>
          <w:tcPr>
            <w:tcW w:w="4675" w:type="dxa"/>
            <w:tcBorders>
              <w:right w:val="single" w:sz="4" w:space="0" w:color="auto"/>
            </w:tcBorders>
          </w:tcPr>
          <w:p w14:paraId="473D73A9" w14:textId="77777777" w:rsidR="007C6C8A" w:rsidRPr="00715078" w:rsidRDefault="007C6C8A" w:rsidP="007C6C8A">
            <w:pPr>
              <w:jc w:val="center"/>
              <w:rPr>
                <w:rFonts w:asciiTheme="majorBidi" w:hAnsiTheme="majorBidi" w:cstheme="majorBidi"/>
                <w:b/>
                <w:bCs/>
                <w:sz w:val="24"/>
                <w:szCs w:val="24"/>
              </w:rPr>
            </w:pPr>
            <w:r w:rsidRPr="00715078">
              <w:rPr>
                <w:rFonts w:asciiTheme="majorBidi" w:hAnsiTheme="majorBidi" w:cstheme="majorBidi"/>
                <w:sz w:val="24"/>
                <w:szCs w:val="24"/>
              </w:rPr>
              <w:t>Nevada</w:t>
            </w:r>
          </w:p>
        </w:tc>
        <w:tc>
          <w:tcPr>
            <w:tcW w:w="4675" w:type="dxa"/>
            <w:tcBorders>
              <w:left w:val="single" w:sz="4" w:space="0" w:color="auto"/>
            </w:tcBorders>
          </w:tcPr>
          <w:p w14:paraId="1B8AF210" w14:textId="541DFF34" w:rsidR="007C6C8A" w:rsidRPr="004F4B9A" w:rsidRDefault="004F4B9A" w:rsidP="007C6C8A">
            <w:pPr>
              <w:jc w:val="center"/>
              <w:rPr>
                <w:rFonts w:asciiTheme="majorBidi" w:hAnsiTheme="majorBidi" w:cstheme="majorBidi"/>
                <w:sz w:val="24"/>
                <w:szCs w:val="24"/>
              </w:rPr>
            </w:pPr>
            <w:r w:rsidRPr="004F4B9A">
              <w:rPr>
                <w:rFonts w:asciiTheme="majorBidi" w:hAnsiTheme="majorBidi" w:cstheme="majorBidi"/>
                <w:sz w:val="24"/>
                <w:szCs w:val="24"/>
              </w:rPr>
              <w:t>0.062</w:t>
            </w:r>
          </w:p>
        </w:tc>
      </w:tr>
      <w:tr w:rsidR="007C6C8A" w:rsidRPr="00715078" w14:paraId="0A51720F" w14:textId="77777777" w:rsidTr="00CF5CDE">
        <w:tc>
          <w:tcPr>
            <w:tcW w:w="4675" w:type="dxa"/>
            <w:tcBorders>
              <w:right w:val="single" w:sz="4" w:space="0" w:color="auto"/>
            </w:tcBorders>
          </w:tcPr>
          <w:p w14:paraId="73089D27" w14:textId="77777777" w:rsidR="007C6C8A" w:rsidRPr="00715078" w:rsidRDefault="007C6C8A" w:rsidP="007C6C8A">
            <w:pPr>
              <w:jc w:val="center"/>
              <w:rPr>
                <w:rFonts w:asciiTheme="majorBidi" w:hAnsiTheme="majorBidi" w:cstheme="majorBidi"/>
                <w:b/>
                <w:bCs/>
                <w:sz w:val="24"/>
                <w:szCs w:val="24"/>
              </w:rPr>
            </w:pPr>
            <w:r w:rsidRPr="00715078">
              <w:rPr>
                <w:rFonts w:asciiTheme="majorBidi" w:hAnsiTheme="majorBidi" w:cstheme="majorBidi"/>
                <w:sz w:val="24"/>
                <w:szCs w:val="24"/>
              </w:rPr>
              <w:t>New Hampshire</w:t>
            </w:r>
          </w:p>
        </w:tc>
        <w:tc>
          <w:tcPr>
            <w:tcW w:w="4675" w:type="dxa"/>
            <w:tcBorders>
              <w:left w:val="single" w:sz="4" w:space="0" w:color="auto"/>
            </w:tcBorders>
          </w:tcPr>
          <w:p w14:paraId="2C81CAE5" w14:textId="3BF7FCBF" w:rsidR="007C6C8A" w:rsidRPr="004F4B9A" w:rsidRDefault="004F4B9A" w:rsidP="007C6C8A">
            <w:pPr>
              <w:jc w:val="center"/>
              <w:rPr>
                <w:rFonts w:asciiTheme="majorBidi" w:hAnsiTheme="majorBidi" w:cstheme="majorBidi"/>
                <w:sz w:val="24"/>
                <w:szCs w:val="24"/>
              </w:rPr>
            </w:pPr>
            <w:r w:rsidRPr="004F4B9A">
              <w:rPr>
                <w:rFonts w:asciiTheme="majorBidi" w:hAnsiTheme="majorBidi" w:cstheme="majorBidi"/>
                <w:sz w:val="24"/>
                <w:szCs w:val="24"/>
              </w:rPr>
              <w:t>0.06</w:t>
            </w:r>
          </w:p>
        </w:tc>
      </w:tr>
      <w:tr w:rsidR="007C6C8A" w:rsidRPr="00715078" w14:paraId="3A3A73D6" w14:textId="77777777" w:rsidTr="00CF5CDE">
        <w:tc>
          <w:tcPr>
            <w:tcW w:w="4675" w:type="dxa"/>
            <w:tcBorders>
              <w:right w:val="single" w:sz="4" w:space="0" w:color="auto"/>
            </w:tcBorders>
          </w:tcPr>
          <w:p w14:paraId="71916C22" w14:textId="77777777" w:rsidR="007C6C8A" w:rsidRPr="00715078" w:rsidRDefault="007C6C8A" w:rsidP="007C6C8A">
            <w:pPr>
              <w:jc w:val="center"/>
              <w:rPr>
                <w:rFonts w:asciiTheme="majorBidi" w:hAnsiTheme="majorBidi" w:cstheme="majorBidi"/>
                <w:b/>
                <w:bCs/>
                <w:sz w:val="24"/>
                <w:szCs w:val="24"/>
              </w:rPr>
            </w:pPr>
            <w:r w:rsidRPr="00715078">
              <w:rPr>
                <w:rFonts w:asciiTheme="majorBidi" w:hAnsiTheme="majorBidi" w:cstheme="majorBidi"/>
                <w:sz w:val="24"/>
                <w:szCs w:val="24"/>
              </w:rPr>
              <w:t>New Jersey</w:t>
            </w:r>
          </w:p>
        </w:tc>
        <w:tc>
          <w:tcPr>
            <w:tcW w:w="4675" w:type="dxa"/>
            <w:tcBorders>
              <w:left w:val="single" w:sz="4" w:space="0" w:color="auto"/>
            </w:tcBorders>
          </w:tcPr>
          <w:p w14:paraId="72EE4783" w14:textId="27A0AAEA" w:rsidR="007C6C8A" w:rsidRPr="004F4B9A" w:rsidRDefault="007C6C8A" w:rsidP="007C6C8A">
            <w:pPr>
              <w:jc w:val="center"/>
              <w:rPr>
                <w:rFonts w:asciiTheme="majorBidi" w:hAnsiTheme="majorBidi" w:cstheme="majorBidi"/>
                <w:sz w:val="24"/>
                <w:szCs w:val="24"/>
              </w:rPr>
            </w:pPr>
            <w:r w:rsidRPr="004F4B9A">
              <w:rPr>
                <w:rFonts w:asciiTheme="majorBidi" w:hAnsiTheme="majorBidi" w:cstheme="majorBidi"/>
                <w:sz w:val="24"/>
                <w:szCs w:val="24"/>
              </w:rPr>
              <w:t>—</w:t>
            </w:r>
          </w:p>
        </w:tc>
      </w:tr>
      <w:tr w:rsidR="007C6C8A" w:rsidRPr="00715078" w14:paraId="71ECD083" w14:textId="77777777" w:rsidTr="00CF5CDE">
        <w:tc>
          <w:tcPr>
            <w:tcW w:w="4675" w:type="dxa"/>
            <w:tcBorders>
              <w:right w:val="single" w:sz="4" w:space="0" w:color="auto"/>
            </w:tcBorders>
          </w:tcPr>
          <w:p w14:paraId="6F7AAD55" w14:textId="77777777" w:rsidR="007C6C8A" w:rsidRPr="00715078" w:rsidRDefault="007C6C8A" w:rsidP="007C6C8A">
            <w:pPr>
              <w:jc w:val="center"/>
              <w:rPr>
                <w:rFonts w:asciiTheme="majorBidi" w:hAnsiTheme="majorBidi" w:cstheme="majorBidi"/>
                <w:b/>
                <w:bCs/>
                <w:sz w:val="24"/>
                <w:szCs w:val="24"/>
              </w:rPr>
            </w:pPr>
            <w:r w:rsidRPr="00715078">
              <w:rPr>
                <w:rFonts w:asciiTheme="majorBidi" w:hAnsiTheme="majorBidi" w:cstheme="majorBidi"/>
                <w:sz w:val="24"/>
                <w:szCs w:val="24"/>
              </w:rPr>
              <w:t>New Mexico</w:t>
            </w:r>
          </w:p>
        </w:tc>
        <w:tc>
          <w:tcPr>
            <w:tcW w:w="4675" w:type="dxa"/>
            <w:tcBorders>
              <w:left w:val="single" w:sz="4" w:space="0" w:color="auto"/>
            </w:tcBorders>
          </w:tcPr>
          <w:p w14:paraId="505898DA" w14:textId="33EA0C3C" w:rsidR="007C6C8A" w:rsidRPr="004F4B9A" w:rsidRDefault="004F4B9A" w:rsidP="007C6C8A">
            <w:pPr>
              <w:jc w:val="center"/>
              <w:rPr>
                <w:rFonts w:asciiTheme="majorBidi" w:hAnsiTheme="majorBidi" w:cstheme="majorBidi"/>
                <w:sz w:val="24"/>
                <w:szCs w:val="24"/>
              </w:rPr>
            </w:pPr>
            <w:r w:rsidRPr="004F4B9A">
              <w:rPr>
                <w:rFonts w:asciiTheme="majorBidi" w:hAnsiTheme="majorBidi" w:cstheme="majorBidi"/>
                <w:sz w:val="24"/>
                <w:szCs w:val="24"/>
              </w:rPr>
              <w:t>0.003</w:t>
            </w:r>
          </w:p>
        </w:tc>
      </w:tr>
      <w:tr w:rsidR="007C6C8A" w:rsidRPr="00715078" w14:paraId="176E293D" w14:textId="77777777" w:rsidTr="00CF5CDE">
        <w:tc>
          <w:tcPr>
            <w:tcW w:w="4675" w:type="dxa"/>
            <w:tcBorders>
              <w:right w:val="single" w:sz="4" w:space="0" w:color="auto"/>
            </w:tcBorders>
          </w:tcPr>
          <w:p w14:paraId="25083252" w14:textId="77777777" w:rsidR="007C6C8A" w:rsidRPr="00715078" w:rsidRDefault="007C6C8A" w:rsidP="007C6C8A">
            <w:pPr>
              <w:jc w:val="center"/>
              <w:rPr>
                <w:rFonts w:asciiTheme="majorBidi" w:hAnsiTheme="majorBidi" w:cstheme="majorBidi"/>
                <w:b/>
                <w:bCs/>
                <w:sz w:val="24"/>
                <w:szCs w:val="24"/>
              </w:rPr>
            </w:pPr>
            <w:r w:rsidRPr="00715078">
              <w:rPr>
                <w:rFonts w:asciiTheme="majorBidi" w:hAnsiTheme="majorBidi" w:cstheme="majorBidi"/>
                <w:sz w:val="24"/>
                <w:szCs w:val="24"/>
              </w:rPr>
              <w:t>New York</w:t>
            </w:r>
          </w:p>
        </w:tc>
        <w:tc>
          <w:tcPr>
            <w:tcW w:w="4675" w:type="dxa"/>
            <w:tcBorders>
              <w:left w:val="single" w:sz="4" w:space="0" w:color="auto"/>
            </w:tcBorders>
          </w:tcPr>
          <w:p w14:paraId="467F29AA" w14:textId="01DEE7DC" w:rsidR="007C6C8A" w:rsidRPr="004F4B9A" w:rsidRDefault="007C6C8A" w:rsidP="007C6C8A">
            <w:pPr>
              <w:jc w:val="center"/>
              <w:rPr>
                <w:rFonts w:asciiTheme="majorBidi" w:hAnsiTheme="majorBidi" w:cstheme="majorBidi"/>
                <w:sz w:val="24"/>
                <w:szCs w:val="24"/>
              </w:rPr>
            </w:pPr>
            <w:r w:rsidRPr="004F4B9A">
              <w:rPr>
                <w:rFonts w:asciiTheme="majorBidi" w:hAnsiTheme="majorBidi" w:cstheme="majorBidi"/>
                <w:sz w:val="24"/>
                <w:szCs w:val="24"/>
              </w:rPr>
              <w:t>—</w:t>
            </w:r>
          </w:p>
        </w:tc>
      </w:tr>
      <w:tr w:rsidR="007C6C8A" w:rsidRPr="00715078" w14:paraId="158AA506" w14:textId="77777777" w:rsidTr="00CF5CDE">
        <w:tc>
          <w:tcPr>
            <w:tcW w:w="4675" w:type="dxa"/>
            <w:tcBorders>
              <w:right w:val="single" w:sz="4" w:space="0" w:color="auto"/>
            </w:tcBorders>
          </w:tcPr>
          <w:p w14:paraId="7830D1C3" w14:textId="77777777" w:rsidR="007C6C8A" w:rsidRPr="00715078" w:rsidRDefault="007C6C8A" w:rsidP="007C6C8A">
            <w:pPr>
              <w:jc w:val="center"/>
              <w:rPr>
                <w:rFonts w:asciiTheme="majorBidi" w:hAnsiTheme="majorBidi" w:cstheme="majorBidi"/>
                <w:b/>
                <w:bCs/>
                <w:sz w:val="24"/>
                <w:szCs w:val="24"/>
              </w:rPr>
            </w:pPr>
            <w:r w:rsidRPr="00715078">
              <w:rPr>
                <w:rFonts w:asciiTheme="majorBidi" w:hAnsiTheme="majorBidi" w:cstheme="majorBidi"/>
                <w:sz w:val="24"/>
                <w:szCs w:val="24"/>
              </w:rPr>
              <w:t>North Carolina</w:t>
            </w:r>
          </w:p>
        </w:tc>
        <w:tc>
          <w:tcPr>
            <w:tcW w:w="4675" w:type="dxa"/>
            <w:tcBorders>
              <w:left w:val="single" w:sz="4" w:space="0" w:color="auto"/>
            </w:tcBorders>
          </w:tcPr>
          <w:p w14:paraId="03EC266C" w14:textId="2564048E" w:rsidR="007C6C8A" w:rsidRPr="004F4B9A" w:rsidRDefault="007C6C8A" w:rsidP="007C6C8A">
            <w:pPr>
              <w:jc w:val="center"/>
              <w:rPr>
                <w:rFonts w:asciiTheme="majorBidi" w:hAnsiTheme="majorBidi" w:cstheme="majorBidi"/>
                <w:sz w:val="24"/>
                <w:szCs w:val="24"/>
              </w:rPr>
            </w:pPr>
            <w:r w:rsidRPr="004F4B9A">
              <w:rPr>
                <w:rFonts w:asciiTheme="majorBidi" w:hAnsiTheme="majorBidi" w:cstheme="majorBidi"/>
                <w:sz w:val="24"/>
                <w:szCs w:val="24"/>
              </w:rPr>
              <w:t>—</w:t>
            </w:r>
          </w:p>
        </w:tc>
      </w:tr>
      <w:tr w:rsidR="007C6C8A" w:rsidRPr="00715078" w14:paraId="4771FF87" w14:textId="77777777" w:rsidTr="00CF5CDE">
        <w:tc>
          <w:tcPr>
            <w:tcW w:w="4675" w:type="dxa"/>
            <w:tcBorders>
              <w:right w:val="single" w:sz="4" w:space="0" w:color="auto"/>
            </w:tcBorders>
          </w:tcPr>
          <w:p w14:paraId="02E99BF8" w14:textId="77777777" w:rsidR="007C6C8A" w:rsidRPr="00715078" w:rsidRDefault="007C6C8A" w:rsidP="007C6C8A">
            <w:pPr>
              <w:jc w:val="center"/>
              <w:rPr>
                <w:rFonts w:asciiTheme="majorBidi" w:hAnsiTheme="majorBidi" w:cstheme="majorBidi"/>
                <w:b/>
                <w:bCs/>
                <w:sz w:val="24"/>
                <w:szCs w:val="24"/>
              </w:rPr>
            </w:pPr>
            <w:r w:rsidRPr="00715078">
              <w:rPr>
                <w:rFonts w:asciiTheme="majorBidi" w:hAnsiTheme="majorBidi" w:cstheme="majorBidi"/>
                <w:sz w:val="24"/>
                <w:szCs w:val="24"/>
              </w:rPr>
              <w:t>Ohio</w:t>
            </w:r>
          </w:p>
        </w:tc>
        <w:tc>
          <w:tcPr>
            <w:tcW w:w="4675" w:type="dxa"/>
            <w:tcBorders>
              <w:left w:val="single" w:sz="4" w:space="0" w:color="auto"/>
            </w:tcBorders>
          </w:tcPr>
          <w:p w14:paraId="571122D4" w14:textId="34EA3386" w:rsidR="007C6C8A" w:rsidRPr="004F4B9A" w:rsidRDefault="007C6C8A" w:rsidP="007C6C8A">
            <w:pPr>
              <w:jc w:val="center"/>
              <w:rPr>
                <w:rFonts w:asciiTheme="majorBidi" w:hAnsiTheme="majorBidi" w:cstheme="majorBidi"/>
                <w:sz w:val="24"/>
                <w:szCs w:val="24"/>
              </w:rPr>
            </w:pPr>
            <w:r w:rsidRPr="004F4B9A">
              <w:rPr>
                <w:rFonts w:asciiTheme="majorBidi" w:hAnsiTheme="majorBidi" w:cstheme="majorBidi"/>
                <w:sz w:val="24"/>
                <w:szCs w:val="24"/>
              </w:rPr>
              <w:t>—</w:t>
            </w:r>
          </w:p>
        </w:tc>
      </w:tr>
      <w:tr w:rsidR="007C6C8A" w:rsidRPr="00715078" w14:paraId="0A4C0E70" w14:textId="77777777" w:rsidTr="00CF5CDE">
        <w:tc>
          <w:tcPr>
            <w:tcW w:w="4675" w:type="dxa"/>
            <w:tcBorders>
              <w:right w:val="single" w:sz="4" w:space="0" w:color="auto"/>
            </w:tcBorders>
          </w:tcPr>
          <w:p w14:paraId="7B64A6B8" w14:textId="77777777" w:rsidR="007C6C8A" w:rsidRPr="00715078" w:rsidRDefault="007C6C8A" w:rsidP="007C6C8A">
            <w:pPr>
              <w:jc w:val="center"/>
              <w:rPr>
                <w:rFonts w:asciiTheme="majorBidi" w:hAnsiTheme="majorBidi" w:cstheme="majorBidi"/>
                <w:b/>
                <w:bCs/>
                <w:sz w:val="24"/>
                <w:szCs w:val="24"/>
              </w:rPr>
            </w:pPr>
            <w:r w:rsidRPr="00715078">
              <w:rPr>
                <w:rFonts w:asciiTheme="majorBidi" w:hAnsiTheme="majorBidi" w:cstheme="majorBidi"/>
                <w:sz w:val="24"/>
                <w:szCs w:val="24"/>
              </w:rPr>
              <w:t>Oklahoma</w:t>
            </w:r>
          </w:p>
        </w:tc>
        <w:tc>
          <w:tcPr>
            <w:tcW w:w="4675" w:type="dxa"/>
            <w:tcBorders>
              <w:left w:val="single" w:sz="4" w:space="0" w:color="auto"/>
            </w:tcBorders>
          </w:tcPr>
          <w:p w14:paraId="5F5CE863" w14:textId="56200D16" w:rsidR="007C6C8A" w:rsidRPr="004F4B9A" w:rsidRDefault="007C6C8A" w:rsidP="007C6C8A">
            <w:pPr>
              <w:jc w:val="center"/>
              <w:rPr>
                <w:rFonts w:asciiTheme="majorBidi" w:hAnsiTheme="majorBidi" w:cstheme="majorBidi"/>
                <w:sz w:val="24"/>
                <w:szCs w:val="24"/>
              </w:rPr>
            </w:pPr>
            <w:r w:rsidRPr="004F4B9A">
              <w:rPr>
                <w:rFonts w:asciiTheme="majorBidi" w:hAnsiTheme="majorBidi" w:cstheme="majorBidi"/>
                <w:sz w:val="24"/>
                <w:szCs w:val="24"/>
              </w:rPr>
              <w:t>—</w:t>
            </w:r>
          </w:p>
        </w:tc>
      </w:tr>
      <w:tr w:rsidR="007C6C8A" w:rsidRPr="00715078" w14:paraId="2E129FDC" w14:textId="77777777" w:rsidTr="00CF5CDE">
        <w:tc>
          <w:tcPr>
            <w:tcW w:w="4675" w:type="dxa"/>
            <w:tcBorders>
              <w:right w:val="single" w:sz="4" w:space="0" w:color="auto"/>
            </w:tcBorders>
          </w:tcPr>
          <w:p w14:paraId="22D28474" w14:textId="77777777" w:rsidR="007C6C8A" w:rsidRPr="00715078" w:rsidRDefault="007C6C8A" w:rsidP="007C6C8A">
            <w:pPr>
              <w:jc w:val="center"/>
              <w:rPr>
                <w:rFonts w:asciiTheme="majorBidi" w:hAnsiTheme="majorBidi" w:cstheme="majorBidi"/>
                <w:b/>
                <w:bCs/>
                <w:sz w:val="24"/>
                <w:szCs w:val="24"/>
              </w:rPr>
            </w:pPr>
            <w:r w:rsidRPr="00715078">
              <w:rPr>
                <w:rFonts w:asciiTheme="majorBidi" w:hAnsiTheme="majorBidi" w:cstheme="majorBidi"/>
                <w:sz w:val="24"/>
                <w:szCs w:val="24"/>
              </w:rPr>
              <w:t>Pennsylvania</w:t>
            </w:r>
          </w:p>
        </w:tc>
        <w:tc>
          <w:tcPr>
            <w:tcW w:w="4675" w:type="dxa"/>
            <w:tcBorders>
              <w:left w:val="single" w:sz="4" w:space="0" w:color="auto"/>
            </w:tcBorders>
          </w:tcPr>
          <w:p w14:paraId="01301E9A" w14:textId="54DA9A0E" w:rsidR="007C6C8A" w:rsidRPr="004F4B9A" w:rsidRDefault="007C6C8A" w:rsidP="007C6C8A">
            <w:pPr>
              <w:jc w:val="center"/>
              <w:rPr>
                <w:rFonts w:asciiTheme="majorBidi" w:hAnsiTheme="majorBidi" w:cstheme="majorBidi"/>
                <w:sz w:val="24"/>
                <w:szCs w:val="24"/>
              </w:rPr>
            </w:pPr>
            <w:r w:rsidRPr="004F4B9A">
              <w:rPr>
                <w:rFonts w:asciiTheme="majorBidi" w:hAnsiTheme="majorBidi" w:cstheme="majorBidi"/>
                <w:sz w:val="24"/>
                <w:szCs w:val="24"/>
              </w:rPr>
              <w:t>—</w:t>
            </w:r>
          </w:p>
        </w:tc>
      </w:tr>
      <w:tr w:rsidR="007C6C8A" w:rsidRPr="00715078" w14:paraId="00CF8629" w14:textId="77777777" w:rsidTr="00CF5CDE">
        <w:tc>
          <w:tcPr>
            <w:tcW w:w="4675" w:type="dxa"/>
            <w:tcBorders>
              <w:right w:val="single" w:sz="4" w:space="0" w:color="auto"/>
            </w:tcBorders>
          </w:tcPr>
          <w:p w14:paraId="1B8B9151" w14:textId="77777777" w:rsidR="007C6C8A" w:rsidRPr="00715078" w:rsidRDefault="007C6C8A" w:rsidP="007C6C8A">
            <w:pPr>
              <w:jc w:val="center"/>
              <w:rPr>
                <w:rFonts w:asciiTheme="majorBidi" w:hAnsiTheme="majorBidi" w:cstheme="majorBidi"/>
                <w:b/>
                <w:bCs/>
                <w:sz w:val="24"/>
                <w:szCs w:val="24"/>
              </w:rPr>
            </w:pPr>
            <w:r w:rsidRPr="00715078">
              <w:rPr>
                <w:rFonts w:asciiTheme="majorBidi" w:hAnsiTheme="majorBidi" w:cstheme="majorBidi"/>
                <w:sz w:val="24"/>
                <w:szCs w:val="24"/>
              </w:rPr>
              <w:t>Rhode Island</w:t>
            </w:r>
          </w:p>
        </w:tc>
        <w:tc>
          <w:tcPr>
            <w:tcW w:w="4675" w:type="dxa"/>
            <w:tcBorders>
              <w:left w:val="single" w:sz="4" w:space="0" w:color="auto"/>
            </w:tcBorders>
          </w:tcPr>
          <w:p w14:paraId="54529FF6" w14:textId="00CF372A" w:rsidR="007C6C8A" w:rsidRPr="004F4B9A" w:rsidRDefault="004F4B9A" w:rsidP="007C6C8A">
            <w:pPr>
              <w:jc w:val="center"/>
              <w:rPr>
                <w:rFonts w:asciiTheme="majorBidi" w:hAnsiTheme="majorBidi" w:cstheme="majorBidi"/>
                <w:sz w:val="24"/>
                <w:szCs w:val="24"/>
              </w:rPr>
            </w:pPr>
            <w:r w:rsidRPr="004F4B9A">
              <w:rPr>
                <w:rFonts w:asciiTheme="majorBidi" w:hAnsiTheme="majorBidi" w:cstheme="majorBidi"/>
                <w:sz w:val="24"/>
                <w:szCs w:val="24"/>
              </w:rPr>
              <w:t>0.34</w:t>
            </w:r>
          </w:p>
        </w:tc>
      </w:tr>
      <w:tr w:rsidR="007C6C8A" w:rsidRPr="00715078" w14:paraId="2C923F6D" w14:textId="77777777" w:rsidTr="00CF5CDE">
        <w:tc>
          <w:tcPr>
            <w:tcW w:w="4675" w:type="dxa"/>
            <w:tcBorders>
              <w:right w:val="single" w:sz="4" w:space="0" w:color="auto"/>
            </w:tcBorders>
          </w:tcPr>
          <w:p w14:paraId="345A9056" w14:textId="77777777" w:rsidR="007C6C8A" w:rsidRPr="00715078" w:rsidRDefault="007C6C8A" w:rsidP="007C6C8A">
            <w:pPr>
              <w:jc w:val="center"/>
              <w:rPr>
                <w:rFonts w:asciiTheme="majorBidi" w:hAnsiTheme="majorBidi" w:cstheme="majorBidi"/>
                <w:b/>
                <w:bCs/>
                <w:sz w:val="24"/>
                <w:szCs w:val="24"/>
              </w:rPr>
            </w:pPr>
            <w:r w:rsidRPr="00715078">
              <w:rPr>
                <w:rFonts w:asciiTheme="majorBidi" w:hAnsiTheme="majorBidi" w:cstheme="majorBidi"/>
                <w:sz w:val="24"/>
                <w:szCs w:val="24"/>
              </w:rPr>
              <w:t>South Carolina</w:t>
            </w:r>
          </w:p>
        </w:tc>
        <w:tc>
          <w:tcPr>
            <w:tcW w:w="4675" w:type="dxa"/>
            <w:tcBorders>
              <w:left w:val="single" w:sz="4" w:space="0" w:color="auto"/>
            </w:tcBorders>
          </w:tcPr>
          <w:p w14:paraId="11600AFD" w14:textId="6CEF092E" w:rsidR="007C6C8A" w:rsidRPr="004F4B9A" w:rsidRDefault="007C6C8A" w:rsidP="007C6C8A">
            <w:pPr>
              <w:jc w:val="center"/>
              <w:rPr>
                <w:rFonts w:asciiTheme="majorBidi" w:hAnsiTheme="majorBidi" w:cstheme="majorBidi"/>
                <w:sz w:val="24"/>
                <w:szCs w:val="24"/>
              </w:rPr>
            </w:pPr>
            <w:r w:rsidRPr="004F4B9A">
              <w:rPr>
                <w:rFonts w:asciiTheme="majorBidi" w:hAnsiTheme="majorBidi" w:cstheme="majorBidi"/>
                <w:sz w:val="24"/>
                <w:szCs w:val="24"/>
              </w:rPr>
              <w:t>—</w:t>
            </w:r>
          </w:p>
        </w:tc>
      </w:tr>
      <w:tr w:rsidR="007C6C8A" w:rsidRPr="00715078" w14:paraId="1ACCF8A4" w14:textId="77777777" w:rsidTr="00CF5CDE">
        <w:tc>
          <w:tcPr>
            <w:tcW w:w="4675" w:type="dxa"/>
            <w:tcBorders>
              <w:right w:val="single" w:sz="4" w:space="0" w:color="auto"/>
            </w:tcBorders>
          </w:tcPr>
          <w:p w14:paraId="0197FA93" w14:textId="77777777" w:rsidR="007C6C8A" w:rsidRPr="00715078" w:rsidRDefault="007C6C8A" w:rsidP="007C6C8A">
            <w:pPr>
              <w:jc w:val="center"/>
              <w:rPr>
                <w:rFonts w:asciiTheme="majorBidi" w:hAnsiTheme="majorBidi" w:cstheme="majorBidi"/>
                <w:b/>
                <w:bCs/>
                <w:sz w:val="24"/>
                <w:szCs w:val="24"/>
              </w:rPr>
            </w:pPr>
            <w:r w:rsidRPr="00715078">
              <w:rPr>
                <w:rFonts w:asciiTheme="majorBidi" w:hAnsiTheme="majorBidi" w:cstheme="majorBidi"/>
                <w:sz w:val="24"/>
                <w:szCs w:val="24"/>
              </w:rPr>
              <w:t>Tennessee</w:t>
            </w:r>
          </w:p>
        </w:tc>
        <w:tc>
          <w:tcPr>
            <w:tcW w:w="4675" w:type="dxa"/>
            <w:tcBorders>
              <w:left w:val="single" w:sz="4" w:space="0" w:color="auto"/>
            </w:tcBorders>
          </w:tcPr>
          <w:p w14:paraId="3E749D8D" w14:textId="1D7AF463" w:rsidR="007C6C8A" w:rsidRPr="004F4B9A" w:rsidRDefault="007C6C8A" w:rsidP="007C6C8A">
            <w:pPr>
              <w:jc w:val="center"/>
              <w:rPr>
                <w:rFonts w:asciiTheme="majorBidi" w:hAnsiTheme="majorBidi" w:cstheme="majorBidi"/>
                <w:sz w:val="24"/>
                <w:szCs w:val="24"/>
              </w:rPr>
            </w:pPr>
            <w:r w:rsidRPr="004F4B9A">
              <w:rPr>
                <w:rFonts w:asciiTheme="majorBidi" w:hAnsiTheme="majorBidi" w:cstheme="majorBidi"/>
                <w:sz w:val="24"/>
                <w:szCs w:val="24"/>
              </w:rPr>
              <w:t>—</w:t>
            </w:r>
          </w:p>
        </w:tc>
      </w:tr>
      <w:tr w:rsidR="007C6C8A" w:rsidRPr="00715078" w14:paraId="08CD8736" w14:textId="77777777" w:rsidTr="00CF5CDE">
        <w:tc>
          <w:tcPr>
            <w:tcW w:w="4675" w:type="dxa"/>
            <w:tcBorders>
              <w:right w:val="single" w:sz="4" w:space="0" w:color="auto"/>
            </w:tcBorders>
          </w:tcPr>
          <w:p w14:paraId="446B5AB5" w14:textId="77777777" w:rsidR="007C6C8A" w:rsidRPr="00715078" w:rsidRDefault="007C6C8A" w:rsidP="007C6C8A">
            <w:pPr>
              <w:jc w:val="center"/>
              <w:rPr>
                <w:rFonts w:asciiTheme="majorBidi" w:hAnsiTheme="majorBidi" w:cstheme="majorBidi"/>
                <w:b/>
                <w:bCs/>
                <w:sz w:val="24"/>
                <w:szCs w:val="24"/>
              </w:rPr>
            </w:pPr>
            <w:r w:rsidRPr="00715078">
              <w:rPr>
                <w:rFonts w:asciiTheme="majorBidi" w:hAnsiTheme="majorBidi" w:cstheme="majorBidi"/>
                <w:sz w:val="24"/>
                <w:szCs w:val="24"/>
              </w:rPr>
              <w:t>Texas</w:t>
            </w:r>
          </w:p>
        </w:tc>
        <w:tc>
          <w:tcPr>
            <w:tcW w:w="4675" w:type="dxa"/>
            <w:tcBorders>
              <w:left w:val="single" w:sz="4" w:space="0" w:color="auto"/>
            </w:tcBorders>
          </w:tcPr>
          <w:p w14:paraId="6583B542" w14:textId="01B7BE83" w:rsidR="007C6C8A" w:rsidRPr="004F4B9A" w:rsidRDefault="007C6C8A" w:rsidP="007C6C8A">
            <w:pPr>
              <w:jc w:val="center"/>
              <w:rPr>
                <w:rFonts w:asciiTheme="majorBidi" w:hAnsiTheme="majorBidi" w:cstheme="majorBidi"/>
                <w:sz w:val="24"/>
                <w:szCs w:val="24"/>
              </w:rPr>
            </w:pPr>
            <w:r w:rsidRPr="004F4B9A">
              <w:rPr>
                <w:rFonts w:asciiTheme="majorBidi" w:hAnsiTheme="majorBidi" w:cstheme="majorBidi"/>
                <w:sz w:val="24"/>
                <w:szCs w:val="24"/>
              </w:rPr>
              <w:t>—</w:t>
            </w:r>
          </w:p>
        </w:tc>
      </w:tr>
      <w:tr w:rsidR="00C623D1" w:rsidRPr="00715078" w14:paraId="50EA1464" w14:textId="77777777" w:rsidTr="00CF5CDE">
        <w:tc>
          <w:tcPr>
            <w:tcW w:w="4675" w:type="dxa"/>
            <w:tcBorders>
              <w:right w:val="single" w:sz="4" w:space="0" w:color="auto"/>
            </w:tcBorders>
          </w:tcPr>
          <w:p w14:paraId="4FC8DB1D" w14:textId="77777777" w:rsidR="00C623D1" w:rsidRPr="00715078" w:rsidRDefault="00C623D1" w:rsidP="00CF5CDE">
            <w:pPr>
              <w:jc w:val="center"/>
              <w:rPr>
                <w:rFonts w:asciiTheme="majorBidi" w:hAnsiTheme="majorBidi" w:cstheme="majorBidi"/>
                <w:b/>
                <w:bCs/>
                <w:sz w:val="24"/>
                <w:szCs w:val="24"/>
              </w:rPr>
            </w:pPr>
            <w:r w:rsidRPr="00715078">
              <w:rPr>
                <w:rFonts w:asciiTheme="majorBidi" w:hAnsiTheme="majorBidi" w:cstheme="majorBidi"/>
                <w:sz w:val="24"/>
                <w:szCs w:val="24"/>
              </w:rPr>
              <w:t>Utah</w:t>
            </w:r>
          </w:p>
        </w:tc>
        <w:tc>
          <w:tcPr>
            <w:tcW w:w="4675" w:type="dxa"/>
            <w:tcBorders>
              <w:left w:val="single" w:sz="4" w:space="0" w:color="auto"/>
            </w:tcBorders>
          </w:tcPr>
          <w:p w14:paraId="678ABFB9" w14:textId="79DC97CA" w:rsidR="00C623D1" w:rsidRPr="004F4B9A" w:rsidRDefault="007C6C8A" w:rsidP="00CF5CDE">
            <w:pPr>
              <w:jc w:val="center"/>
              <w:rPr>
                <w:rFonts w:asciiTheme="majorBidi" w:hAnsiTheme="majorBidi" w:cstheme="majorBidi"/>
                <w:sz w:val="24"/>
                <w:szCs w:val="24"/>
              </w:rPr>
            </w:pPr>
            <w:r w:rsidRPr="004F4B9A">
              <w:rPr>
                <w:rFonts w:asciiTheme="majorBidi" w:hAnsiTheme="majorBidi" w:cstheme="majorBidi"/>
                <w:sz w:val="24"/>
                <w:szCs w:val="24"/>
              </w:rPr>
              <w:t>—</w:t>
            </w:r>
          </w:p>
        </w:tc>
      </w:tr>
      <w:tr w:rsidR="00C623D1" w:rsidRPr="00715078" w14:paraId="46974BF4" w14:textId="77777777" w:rsidTr="00CF5CDE">
        <w:tc>
          <w:tcPr>
            <w:tcW w:w="4675" w:type="dxa"/>
            <w:tcBorders>
              <w:right w:val="single" w:sz="4" w:space="0" w:color="auto"/>
            </w:tcBorders>
          </w:tcPr>
          <w:p w14:paraId="3F1D27A8" w14:textId="77777777" w:rsidR="00C623D1" w:rsidRPr="00715078" w:rsidRDefault="00C623D1" w:rsidP="00CF5CDE">
            <w:pPr>
              <w:jc w:val="center"/>
              <w:rPr>
                <w:rFonts w:asciiTheme="majorBidi" w:hAnsiTheme="majorBidi" w:cstheme="majorBidi"/>
                <w:b/>
                <w:bCs/>
                <w:sz w:val="24"/>
                <w:szCs w:val="24"/>
              </w:rPr>
            </w:pPr>
            <w:r w:rsidRPr="00715078">
              <w:rPr>
                <w:rFonts w:asciiTheme="majorBidi" w:hAnsiTheme="majorBidi" w:cstheme="majorBidi"/>
                <w:sz w:val="24"/>
                <w:szCs w:val="24"/>
              </w:rPr>
              <w:t>Virginia</w:t>
            </w:r>
          </w:p>
        </w:tc>
        <w:tc>
          <w:tcPr>
            <w:tcW w:w="4675" w:type="dxa"/>
            <w:tcBorders>
              <w:left w:val="single" w:sz="4" w:space="0" w:color="auto"/>
            </w:tcBorders>
          </w:tcPr>
          <w:p w14:paraId="5C871E03" w14:textId="27E6AC35" w:rsidR="00C623D1" w:rsidRPr="00715078" w:rsidRDefault="007C6C8A" w:rsidP="00CF5CDE">
            <w:pPr>
              <w:jc w:val="center"/>
              <w:rPr>
                <w:rFonts w:asciiTheme="majorBidi" w:hAnsiTheme="majorBidi" w:cstheme="majorBidi"/>
                <w:b/>
                <w:bCs/>
                <w:sz w:val="24"/>
                <w:szCs w:val="24"/>
              </w:rPr>
            </w:pPr>
            <w:r>
              <w:rPr>
                <w:rFonts w:asciiTheme="majorBidi" w:hAnsiTheme="majorBidi" w:cstheme="majorBidi"/>
                <w:b/>
                <w:bCs/>
                <w:sz w:val="24"/>
                <w:szCs w:val="24"/>
              </w:rPr>
              <w:t>—</w:t>
            </w:r>
          </w:p>
        </w:tc>
      </w:tr>
      <w:tr w:rsidR="00C623D1" w:rsidRPr="00715078" w14:paraId="46A5CDF9" w14:textId="77777777" w:rsidTr="00CF5CDE">
        <w:tc>
          <w:tcPr>
            <w:tcW w:w="4675" w:type="dxa"/>
            <w:tcBorders>
              <w:right w:val="single" w:sz="4" w:space="0" w:color="auto"/>
            </w:tcBorders>
          </w:tcPr>
          <w:p w14:paraId="3549BAF0" w14:textId="77777777" w:rsidR="00C623D1" w:rsidRPr="00715078" w:rsidRDefault="00C623D1" w:rsidP="00CF5CDE">
            <w:pPr>
              <w:jc w:val="center"/>
              <w:rPr>
                <w:rFonts w:asciiTheme="majorBidi" w:hAnsiTheme="majorBidi" w:cstheme="majorBidi"/>
                <w:b/>
                <w:bCs/>
                <w:sz w:val="24"/>
                <w:szCs w:val="24"/>
              </w:rPr>
            </w:pPr>
            <w:r w:rsidRPr="00715078">
              <w:rPr>
                <w:rFonts w:asciiTheme="majorBidi" w:hAnsiTheme="majorBidi" w:cstheme="majorBidi"/>
                <w:sz w:val="24"/>
                <w:szCs w:val="24"/>
              </w:rPr>
              <w:t>West Virginia</w:t>
            </w:r>
          </w:p>
        </w:tc>
        <w:tc>
          <w:tcPr>
            <w:tcW w:w="4675" w:type="dxa"/>
            <w:tcBorders>
              <w:left w:val="single" w:sz="4" w:space="0" w:color="auto"/>
            </w:tcBorders>
          </w:tcPr>
          <w:p w14:paraId="68956738" w14:textId="2DEAD4E9" w:rsidR="00C623D1" w:rsidRPr="00715078" w:rsidRDefault="007C6C8A" w:rsidP="00CF5CDE">
            <w:pPr>
              <w:jc w:val="center"/>
              <w:rPr>
                <w:rFonts w:asciiTheme="majorBidi" w:hAnsiTheme="majorBidi" w:cstheme="majorBidi"/>
                <w:b/>
                <w:bCs/>
                <w:sz w:val="24"/>
                <w:szCs w:val="24"/>
              </w:rPr>
            </w:pPr>
            <w:r>
              <w:rPr>
                <w:rFonts w:asciiTheme="majorBidi" w:hAnsiTheme="majorBidi" w:cstheme="majorBidi"/>
                <w:b/>
                <w:bCs/>
                <w:sz w:val="24"/>
                <w:szCs w:val="24"/>
              </w:rPr>
              <w:t>—</w:t>
            </w:r>
          </w:p>
        </w:tc>
      </w:tr>
      <w:tr w:rsidR="00C623D1" w:rsidRPr="00715078" w14:paraId="1CB11514" w14:textId="77777777" w:rsidTr="00CF5CDE">
        <w:tc>
          <w:tcPr>
            <w:tcW w:w="4675" w:type="dxa"/>
            <w:tcBorders>
              <w:bottom w:val="single" w:sz="4" w:space="0" w:color="auto"/>
              <w:right w:val="single" w:sz="4" w:space="0" w:color="auto"/>
            </w:tcBorders>
          </w:tcPr>
          <w:p w14:paraId="61DBA23F" w14:textId="77777777" w:rsidR="00C623D1" w:rsidRPr="00715078" w:rsidRDefault="00C623D1" w:rsidP="00CF5CDE">
            <w:pPr>
              <w:jc w:val="center"/>
              <w:rPr>
                <w:rFonts w:asciiTheme="majorBidi" w:hAnsiTheme="majorBidi" w:cstheme="majorBidi"/>
                <w:b/>
                <w:bCs/>
                <w:sz w:val="24"/>
                <w:szCs w:val="24"/>
              </w:rPr>
            </w:pPr>
            <w:r w:rsidRPr="00715078">
              <w:rPr>
                <w:rFonts w:asciiTheme="majorBidi" w:hAnsiTheme="majorBidi" w:cstheme="majorBidi"/>
                <w:sz w:val="24"/>
                <w:szCs w:val="24"/>
              </w:rPr>
              <w:t>Wisconsin</w:t>
            </w:r>
          </w:p>
        </w:tc>
        <w:tc>
          <w:tcPr>
            <w:tcW w:w="4675" w:type="dxa"/>
            <w:tcBorders>
              <w:left w:val="single" w:sz="4" w:space="0" w:color="auto"/>
              <w:bottom w:val="single" w:sz="4" w:space="0" w:color="auto"/>
            </w:tcBorders>
          </w:tcPr>
          <w:p w14:paraId="41EC2E18" w14:textId="0877018A" w:rsidR="00C623D1" w:rsidRPr="00715078" w:rsidRDefault="007C6C8A" w:rsidP="00CF5CDE">
            <w:pPr>
              <w:jc w:val="center"/>
              <w:rPr>
                <w:rFonts w:asciiTheme="majorBidi" w:hAnsiTheme="majorBidi" w:cstheme="majorBidi"/>
                <w:b/>
                <w:bCs/>
                <w:sz w:val="24"/>
                <w:szCs w:val="24"/>
              </w:rPr>
            </w:pPr>
            <w:r>
              <w:rPr>
                <w:rFonts w:asciiTheme="majorBidi" w:hAnsiTheme="majorBidi" w:cstheme="majorBidi"/>
                <w:b/>
                <w:bCs/>
                <w:sz w:val="24"/>
                <w:szCs w:val="24"/>
              </w:rPr>
              <w:t>—</w:t>
            </w:r>
          </w:p>
        </w:tc>
      </w:tr>
    </w:tbl>
    <w:p w14:paraId="4248E89B" w14:textId="7C6818A8" w:rsidR="00F360CC" w:rsidRDefault="00AD091F" w:rsidP="00AD091F">
      <w:pPr>
        <w:ind w:left="288" w:right="288"/>
      </w:pPr>
      <w:r w:rsidRPr="00AD091F">
        <w:rPr>
          <w:rFonts w:asciiTheme="majorBidi" w:hAnsiTheme="majorBidi" w:cstheme="majorBidi"/>
          <w:sz w:val="21"/>
          <w:szCs w:val="21"/>
        </w:rPr>
        <w:t>The weights represent the importance of each state in constructing the synthetic control for Oregon. The weights are determined by the Synthetic Control Method and sum to 1.</w:t>
      </w:r>
      <w:r w:rsidRPr="00AD091F">
        <w:rPr>
          <w:rFonts w:asciiTheme="majorBidi" w:hAnsiTheme="majorBidi" w:cstheme="majorBidi"/>
          <w:sz w:val="21"/>
          <w:szCs w:val="21"/>
        </w:rPr>
        <w:t xml:space="preserve"> </w:t>
      </w:r>
      <w:r w:rsidRPr="00AD091F">
        <w:rPr>
          <w:rFonts w:asciiTheme="majorBidi" w:hAnsiTheme="majorBidi" w:cstheme="majorBidi"/>
          <w:sz w:val="21"/>
          <w:szCs w:val="21"/>
        </w:rPr>
        <w:t>The states included in this table constitute the donor pool, i.e., the set of states that are used to construct the synthetic control. The selection of these states is based on their similarity to Oregon in terms of pre-treatment characteristics.</w:t>
      </w:r>
      <w:r w:rsidR="00F360CC">
        <w:br w:type="page"/>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360CC" w:rsidRPr="00715078" w14:paraId="0BD9790B" w14:textId="77777777" w:rsidTr="00184FD7">
        <w:trPr>
          <w:trHeight w:val="20"/>
        </w:trPr>
        <w:tc>
          <w:tcPr>
            <w:tcW w:w="9350" w:type="dxa"/>
            <w:gridSpan w:val="3"/>
            <w:tcBorders>
              <w:bottom w:val="single" w:sz="4" w:space="0" w:color="auto"/>
            </w:tcBorders>
          </w:tcPr>
          <w:p w14:paraId="5C8C4254" w14:textId="0D156FE9" w:rsidR="00F360CC" w:rsidRPr="00715078" w:rsidRDefault="00F360CC" w:rsidP="00184FD7">
            <w:pPr>
              <w:jc w:val="center"/>
              <w:rPr>
                <w:rFonts w:asciiTheme="majorBidi" w:hAnsiTheme="majorBidi" w:cstheme="majorBidi"/>
                <w:b/>
                <w:bCs/>
                <w:sz w:val="24"/>
                <w:szCs w:val="24"/>
              </w:rPr>
            </w:pPr>
            <w:r w:rsidRPr="00715078">
              <w:rPr>
                <w:rFonts w:asciiTheme="majorBidi" w:hAnsiTheme="majorBidi" w:cstheme="majorBidi"/>
                <w:b/>
                <w:bCs/>
                <w:sz w:val="24"/>
                <w:szCs w:val="24"/>
              </w:rPr>
              <w:lastRenderedPageBreak/>
              <w:t xml:space="preserve">Table </w:t>
            </w:r>
            <w:r w:rsidR="00E21454">
              <w:rPr>
                <w:rFonts w:asciiTheme="majorBidi" w:hAnsiTheme="majorBidi" w:cstheme="majorBidi"/>
                <w:b/>
                <w:bCs/>
                <w:sz w:val="24"/>
                <w:szCs w:val="24"/>
              </w:rPr>
              <w:t>4</w:t>
            </w:r>
            <w:r w:rsidRPr="00715078">
              <w:rPr>
                <w:rFonts w:asciiTheme="majorBidi" w:hAnsiTheme="majorBidi" w:cstheme="majorBidi"/>
                <w:b/>
                <w:bCs/>
                <w:sz w:val="24"/>
                <w:szCs w:val="24"/>
              </w:rPr>
              <w:t>. Estimated Monthly Treatment Effects and P-Values</w:t>
            </w:r>
          </w:p>
        </w:tc>
      </w:tr>
      <w:tr w:rsidR="00F360CC" w:rsidRPr="00715078" w14:paraId="5AA3A450" w14:textId="77777777" w:rsidTr="00184FD7">
        <w:trPr>
          <w:trHeight w:val="20"/>
        </w:trPr>
        <w:tc>
          <w:tcPr>
            <w:tcW w:w="3116" w:type="dxa"/>
            <w:tcBorders>
              <w:top w:val="single" w:sz="4" w:space="0" w:color="auto"/>
              <w:bottom w:val="single" w:sz="4" w:space="0" w:color="auto"/>
              <w:right w:val="single" w:sz="4" w:space="0" w:color="auto"/>
            </w:tcBorders>
            <w:hideMark/>
          </w:tcPr>
          <w:p w14:paraId="31055D62" w14:textId="77777777" w:rsidR="00F360CC" w:rsidRPr="00EC4270" w:rsidRDefault="00F360CC" w:rsidP="00184FD7">
            <w:pPr>
              <w:tabs>
                <w:tab w:val="left" w:pos="1980"/>
              </w:tabs>
              <w:jc w:val="right"/>
              <w:rPr>
                <w:rFonts w:asciiTheme="majorBidi" w:hAnsiTheme="majorBidi" w:cstheme="majorBidi"/>
                <w:i/>
                <w:iCs/>
                <w:sz w:val="24"/>
                <w:szCs w:val="24"/>
              </w:rPr>
            </w:pPr>
            <w:r w:rsidRPr="00EC4270">
              <w:rPr>
                <w:rFonts w:asciiTheme="majorBidi" w:hAnsiTheme="majorBidi" w:cstheme="majorBidi"/>
                <w:i/>
                <w:iCs/>
                <w:sz w:val="24"/>
                <w:szCs w:val="24"/>
              </w:rPr>
              <w:t>Month</w:t>
            </w:r>
          </w:p>
        </w:tc>
        <w:tc>
          <w:tcPr>
            <w:tcW w:w="3117" w:type="dxa"/>
            <w:tcBorders>
              <w:top w:val="single" w:sz="4" w:space="0" w:color="auto"/>
              <w:left w:val="single" w:sz="4" w:space="0" w:color="auto"/>
              <w:bottom w:val="single" w:sz="4" w:space="0" w:color="auto"/>
              <w:right w:val="single" w:sz="4" w:space="0" w:color="auto"/>
            </w:tcBorders>
            <w:hideMark/>
          </w:tcPr>
          <w:p w14:paraId="35DC4FE5" w14:textId="77777777" w:rsidR="00F360CC" w:rsidRPr="00EC4270" w:rsidRDefault="00F360CC" w:rsidP="00184FD7">
            <w:pPr>
              <w:jc w:val="center"/>
              <w:rPr>
                <w:rFonts w:asciiTheme="majorBidi" w:hAnsiTheme="majorBidi" w:cstheme="majorBidi"/>
                <w:i/>
                <w:iCs/>
                <w:sz w:val="24"/>
                <w:szCs w:val="24"/>
              </w:rPr>
            </w:pPr>
            <w:r w:rsidRPr="00EC4270">
              <w:rPr>
                <w:rFonts w:asciiTheme="majorBidi" w:hAnsiTheme="majorBidi" w:cstheme="majorBidi"/>
                <w:i/>
                <w:iCs/>
                <w:sz w:val="24"/>
                <w:szCs w:val="24"/>
              </w:rPr>
              <w:t>Estimated Treatment Effect</w:t>
            </w:r>
          </w:p>
        </w:tc>
        <w:tc>
          <w:tcPr>
            <w:tcW w:w="3117" w:type="dxa"/>
            <w:tcBorders>
              <w:top w:val="single" w:sz="4" w:space="0" w:color="auto"/>
              <w:left w:val="single" w:sz="4" w:space="0" w:color="auto"/>
              <w:bottom w:val="single" w:sz="4" w:space="0" w:color="auto"/>
            </w:tcBorders>
            <w:hideMark/>
          </w:tcPr>
          <w:p w14:paraId="5FF1CF1E" w14:textId="77777777" w:rsidR="00F360CC" w:rsidRPr="00EC4270" w:rsidRDefault="00F360CC" w:rsidP="00184FD7">
            <w:pPr>
              <w:rPr>
                <w:rFonts w:asciiTheme="majorBidi" w:hAnsiTheme="majorBidi" w:cstheme="majorBidi"/>
                <w:i/>
                <w:iCs/>
                <w:sz w:val="24"/>
                <w:szCs w:val="24"/>
              </w:rPr>
            </w:pPr>
            <w:r w:rsidRPr="00EC4270">
              <w:rPr>
                <w:rFonts w:asciiTheme="majorBidi" w:hAnsiTheme="majorBidi" w:cstheme="majorBidi"/>
                <w:i/>
                <w:iCs/>
                <w:sz w:val="24"/>
                <w:szCs w:val="24"/>
              </w:rPr>
              <w:t>P-Value</w:t>
            </w:r>
          </w:p>
        </w:tc>
      </w:tr>
      <w:tr w:rsidR="00F360CC" w:rsidRPr="00715078" w14:paraId="79466007" w14:textId="77777777" w:rsidTr="00184FD7">
        <w:trPr>
          <w:trHeight w:val="20"/>
        </w:trPr>
        <w:tc>
          <w:tcPr>
            <w:tcW w:w="3116" w:type="dxa"/>
            <w:tcBorders>
              <w:top w:val="single" w:sz="4" w:space="0" w:color="auto"/>
              <w:right w:val="single" w:sz="4" w:space="0" w:color="auto"/>
            </w:tcBorders>
            <w:hideMark/>
          </w:tcPr>
          <w:p w14:paraId="52E378EA" w14:textId="77777777" w:rsidR="00F360CC" w:rsidRPr="00C63D4B" w:rsidRDefault="00F360CC" w:rsidP="00184FD7">
            <w:pPr>
              <w:jc w:val="right"/>
              <w:rPr>
                <w:rFonts w:asciiTheme="majorBidi" w:hAnsiTheme="majorBidi" w:cstheme="majorBidi"/>
                <w:sz w:val="24"/>
                <w:szCs w:val="24"/>
              </w:rPr>
            </w:pPr>
            <w:r w:rsidRPr="00C63D4B">
              <w:rPr>
                <w:rFonts w:asciiTheme="majorBidi" w:hAnsiTheme="majorBidi" w:cstheme="majorBidi"/>
                <w:sz w:val="24"/>
                <w:szCs w:val="24"/>
              </w:rPr>
              <w:t>February 2021</w:t>
            </w:r>
          </w:p>
        </w:tc>
        <w:tc>
          <w:tcPr>
            <w:tcW w:w="3117" w:type="dxa"/>
            <w:tcBorders>
              <w:top w:val="single" w:sz="4" w:space="0" w:color="auto"/>
              <w:left w:val="single" w:sz="4" w:space="0" w:color="auto"/>
              <w:right w:val="single" w:sz="4" w:space="0" w:color="auto"/>
            </w:tcBorders>
            <w:hideMark/>
          </w:tcPr>
          <w:p w14:paraId="7BA27967" w14:textId="77777777" w:rsidR="00F360CC" w:rsidRPr="00C63D4B" w:rsidRDefault="00F360CC" w:rsidP="00184FD7">
            <w:pPr>
              <w:jc w:val="center"/>
              <w:rPr>
                <w:rFonts w:asciiTheme="majorBidi" w:hAnsiTheme="majorBidi" w:cstheme="majorBidi"/>
                <w:sz w:val="24"/>
                <w:szCs w:val="24"/>
              </w:rPr>
            </w:pPr>
            <w:r w:rsidRPr="00C63D4B">
              <w:rPr>
                <w:rFonts w:asciiTheme="majorBidi" w:hAnsiTheme="majorBidi" w:cstheme="majorBidi"/>
                <w:sz w:val="24"/>
                <w:szCs w:val="24"/>
              </w:rPr>
              <w:t>12.165</w:t>
            </w:r>
          </w:p>
        </w:tc>
        <w:tc>
          <w:tcPr>
            <w:tcW w:w="3117" w:type="dxa"/>
            <w:tcBorders>
              <w:top w:val="single" w:sz="4" w:space="0" w:color="auto"/>
              <w:left w:val="single" w:sz="4" w:space="0" w:color="auto"/>
            </w:tcBorders>
            <w:hideMark/>
          </w:tcPr>
          <w:p w14:paraId="231860CD" w14:textId="77777777" w:rsidR="00F360CC" w:rsidRPr="00C63D4B" w:rsidRDefault="00F360CC" w:rsidP="00184FD7">
            <w:pPr>
              <w:rPr>
                <w:rFonts w:asciiTheme="majorBidi" w:hAnsiTheme="majorBidi" w:cstheme="majorBidi"/>
                <w:sz w:val="24"/>
                <w:szCs w:val="24"/>
              </w:rPr>
            </w:pPr>
            <w:r w:rsidRPr="00C63D4B">
              <w:rPr>
                <w:rFonts w:asciiTheme="majorBidi" w:hAnsiTheme="majorBidi" w:cstheme="majorBidi"/>
                <w:sz w:val="24"/>
                <w:szCs w:val="24"/>
              </w:rPr>
              <w:t>0.2682927</w:t>
            </w:r>
          </w:p>
        </w:tc>
      </w:tr>
      <w:tr w:rsidR="00F360CC" w:rsidRPr="00715078" w14:paraId="78155FC1" w14:textId="77777777" w:rsidTr="00184FD7">
        <w:trPr>
          <w:trHeight w:val="20"/>
        </w:trPr>
        <w:tc>
          <w:tcPr>
            <w:tcW w:w="3116" w:type="dxa"/>
            <w:tcBorders>
              <w:right w:val="single" w:sz="4" w:space="0" w:color="auto"/>
            </w:tcBorders>
            <w:hideMark/>
          </w:tcPr>
          <w:p w14:paraId="1BDED84B" w14:textId="77777777" w:rsidR="00F360CC" w:rsidRPr="00C63D4B" w:rsidRDefault="00F360CC" w:rsidP="00184FD7">
            <w:pPr>
              <w:jc w:val="right"/>
              <w:rPr>
                <w:rFonts w:asciiTheme="majorBidi" w:hAnsiTheme="majorBidi" w:cstheme="majorBidi"/>
                <w:sz w:val="24"/>
                <w:szCs w:val="24"/>
              </w:rPr>
            </w:pPr>
            <w:r w:rsidRPr="00C63D4B">
              <w:rPr>
                <w:rFonts w:asciiTheme="majorBidi" w:hAnsiTheme="majorBidi" w:cstheme="majorBidi"/>
                <w:sz w:val="24"/>
                <w:szCs w:val="24"/>
              </w:rPr>
              <w:t>March 2021</w:t>
            </w:r>
          </w:p>
        </w:tc>
        <w:tc>
          <w:tcPr>
            <w:tcW w:w="3117" w:type="dxa"/>
            <w:tcBorders>
              <w:left w:val="single" w:sz="4" w:space="0" w:color="auto"/>
              <w:right w:val="single" w:sz="4" w:space="0" w:color="auto"/>
            </w:tcBorders>
          </w:tcPr>
          <w:p w14:paraId="4F1C7084" w14:textId="77777777" w:rsidR="00F360CC" w:rsidRPr="00C63D4B" w:rsidRDefault="00F360CC" w:rsidP="00184FD7">
            <w:pPr>
              <w:jc w:val="center"/>
              <w:rPr>
                <w:rFonts w:asciiTheme="majorBidi" w:hAnsiTheme="majorBidi" w:cstheme="majorBidi"/>
                <w:sz w:val="24"/>
                <w:szCs w:val="24"/>
              </w:rPr>
            </w:pPr>
            <w:r w:rsidRPr="00C63D4B">
              <w:rPr>
                <w:rFonts w:asciiTheme="majorBidi" w:hAnsiTheme="majorBidi" w:cstheme="majorBidi"/>
                <w:sz w:val="24"/>
                <w:szCs w:val="24"/>
              </w:rPr>
              <w:t>26.87</w:t>
            </w:r>
          </w:p>
        </w:tc>
        <w:tc>
          <w:tcPr>
            <w:tcW w:w="3117" w:type="dxa"/>
            <w:tcBorders>
              <w:left w:val="single" w:sz="4" w:space="0" w:color="auto"/>
            </w:tcBorders>
          </w:tcPr>
          <w:p w14:paraId="1115456F" w14:textId="77777777" w:rsidR="00F360CC" w:rsidRPr="00C63D4B" w:rsidRDefault="00F360CC" w:rsidP="00184FD7">
            <w:pPr>
              <w:rPr>
                <w:rFonts w:asciiTheme="majorBidi" w:hAnsiTheme="majorBidi" w:cstheme="majorBidi"/>
                <w:sz w:val="24"/>
                <w:szCs w:val="24"/>
              </w:rPr>
            </w:pPr>
            <w:r w:rsidRPr="00C63D4B">
              <w:rPr>
                <w:rFonts w:asciiTheme="majorBidi" w:hAnsiTheme="majorBidi" w:cstheme="majorBidi"/>
                <w:sz w:val="24"/>
                <w:szCs w:val="24"/>
              </w:rPr>
              <w:t>0.0487805</w:t>
            </w:r>
          </w:p>
        </w:tc>
      </w:tr>
      <w:tr w:rsidR="00F360CC" w:rsidRPr="00715078" w14:paraId="4F3AA260" w14:textId="77777777" w:rsidTr="00184FD7">
        <w:trPr>
          <w:trHeight w:val="20"/>
        </w:trPr>
        <w:tc>
          <w:tcPr>
            <w:tcW w:w="3116" w:type="dxa"/>
            <w:tcBorders>
              <w:right w:val="single" w:sz="4" w:space="0" w:color="auto"/>
            </w:tcBorders>
            <w:hideMark/>
          </w:tcPr>
          <w:p w14:paraId="6707644D" w14:textId="77777777" w:rsidR="00F360CC" w:rsidRPr="00C63D4B" w:rsidRDefault="00F360CC" w:rsidP="00184FD7">
            <w:pPr>
              <w:jc w:val="right"/>
              <w:rPr>
                <w:rFonts w:asciiTheme="majorBidi" w:hAnsiTheme="majorBidi" w:cstheme="majorBidi"/>
                <w:sz w:val="24"/>
                <w:szCs w:val="24"/>
              </w:rPr>
            </w:pPr>
            <w:r w:rsidRPr="00C63D4B">
              <w:rPr>
                <w:rFonts w:asciiTheme="majorBidi" w:hAnsiTheme="majorBidi" w:cstheme="majorBidi"/>
                <w:sz w:val="24"/>
                <w:szCs w:val="24"/>
              </w:rPr>
              <w:t>April 2021</w:t>
            </w:r>
          </w:p>
        </w:tc>
        <w:tc>
          <w:tcPr>
            <w:tcW w:w="3117" w:type="dxa"/>
            <w:tcBorders>
              <w:left w:val="single" w:sz="4" w:space="0" w:color="auto"/>
              <w:right w:val="single" w:sz="4" w:space="0" w:color="auto"/>
            </w:tcBorders>
          </w:tcPr>
          <w:p w14:paraId="219FBB1C" w14:textId="77777777" w:rsidR="00F360CC" w:rsidRPr="00C63D4B" w:rsidRDefault="00F360CC" w:rsidP="00184FD7">
            <w:pPr>
              <w:jc w:val="center"/>
              <w:rPr>
                <w:rFonts w:asciiTheme="majorBidi" w:hAnsiTheme="majorBidi" w:cstheme="majorBidi"/>
                <w:sz w:val="24"/>
                <w:szCs w:val="24"/>
              </w:rPr>
            </w:pPr>
            <w:r w:rsidRPr="00C63D4B">
              <w:rPr>
                <w:rFonts w:asciiTheme="majorBidi" w:hAnsiTheme="majorBidi" w:cstheme="majorBidi"/>
                <w:sz w:val="24"/>
                <w:szCs w:val="24"/>
              </w:rPr>
              <w:t>37.124</w:t>
            </w:r>
          </w:p>
        </w:tc>
        <w:tc>
          <w:tcPr>
            <w:tcW w:w="3117" w:type="dxa"/>
            <w:tcBorders>
              <w:left w:val="single" w:sz="4" w:space="0" w:color="auto"/>
            </w:tcBorders>
          </w:tcPr>
          <w:p w14:paraId="07D9F28C" w14:textId="77777777" w:rsidR="00F360CC" w:rsidRPr="00C63D4B" w:rsidRDefault="00F360CC" w:rsidP="00184FD7">
            <w:pPr>
              <w:rPr>
                <w:rFonts w:asciiTheme="majorBidi" w:hAnsiTheme="majorBidi" w:cstheme="majorBidi"/>
                <w:sz w:val="24"/>
                <w:szCs w:val="24"/>
              </w:rPr>
            </w:pPr>
            <w:r w:rsidRPr="00C63D4B">
              <w:rPr>
                <w:rFonts w:asciiTheme="majorBidi" w:hAnsiTheme="majorBidi" w:cstheme="majorBidi"/>
                <w:sz w:val="24"/>
                <w:szCs w:val="24"/>
              </w:rPr>
              <w:t>0.0243902</w:t>
            </w:r>
          </w:p>
        </w:tc>
      </w:tr>
      <w:tr w:rsidR="00F360CC" w:rsidRPr="00715078" w14:paraId="2066025B" w14:textId="77777777" w:rsidTr="00184FD7">
        <w:trPr>
          <w:trHeight w:val="20"/>
        </w:trPr>
        <w:tc>
          <w:tcPr>
            <w:tcW w:w="3116" w:type="dxa"/>
            <w:tcBorders>
              <w:right w:val="single" w:sz="4" w:space="0" w:color="auto"/>
            </w:tcBorders>
            <w:hideMark/>
          </w:tcPr>
          <w:p w14:paraId="17741B96" w14:textId="77777777" w:rsidR="00F360CC" w:rsidRPr="00C63D4B" w:rsidRDefault="00F360CC" w:rsidP="00184FD7">
            <w:pPr>
              <w:jc w:val="right"/>
              <w:rPr>
                <w:rFonts w:asciiTheme="majorBidi" w:hAnsiTheme="majorBidi" w:cstheme="majorBidi"/>
                <w:sz w:val="24"/>
                <w:szCs w:val="24"/>
              </w:rPr>
            </w:pPr>
            <w:r w:rsidRPr="00C63D4B">
              <w:rPr>
                <w:rFonts w:asciiTheme="majorBidi" w:hAnsiTheme="majorBidi" w:cstheme="majorBidi"/>
                <w:sz w:val="24"/>
                <w:szCs w:val="24"/>
              </w:rPr>
              <w:t>May 2021</w:t>
            </w:r>
          </w:p>
        </w:tc>
        <w:tc>
          <w:tcPr>
            <w:tcW w:w="3117" w:type="dxa"/>
            <w:tcBorders>
              <w:left w:val="single" w:sz="4" w:space="0" w:color="auto"/>
              <w:right w:val="single" w:sz="4" w:space="0" w:color="auto"/>
            </w:tcBorders>
          </w:tcPr>
          <w:p w14:paraId="5C5313BF" w14:textId="77777777" w:rsidR="00F360CC" w:rsidRPr="00C63D4B" w:rsidRDefault="00F360CC" w:rsidP="00184FD7">
            <w:pPr>
              <w:jc w:val="center"/>
              <w:rPr>
                <w:rFonts w:asciiTheme="majorBidi" w:hAnsiTheme="majorBidi" w:cstheme="majorBidi"/>
                <w:sz w:val="24"/>
                <w:szCs w:val="24"/>
              </w:rPr>
            </w:pPr>
            <w:r w:rsidRPr="00C63D4B">
              <w:rPr>
                <w:rFonts w:asciiTheme="majorBidi" w:hAnsiTheme="majorBidi" w:cstheme="majorBidi"/>
                <w:sz w:val="24"/>
                <w:szCs w:val="24"/>
              </w:rPr>
              <w:t>40.141</w:t>
            </w:r>
          </w:p>
        </w:tc>
        <w:tc>
          <w:tcPr>
            <w:tcW w:w="3117" w:type="dxa"/>
            <w:tcBorders>
              <w:left w:val="single" w:sz="4" w:space="0" w:color="auto"/>
            </w:tcBorders>
          </w:tcPr>
          <w:p w14:paraId="7A296073" w14:textId="77777777" w:rsidR="00F360CC" w:rsidRPr="00C63D4B" w:rsidRDefault="00F360CC" w:rsidP="00184FD7">
            <w:pPr>
              <w:rPr>
                <w:rFonts w:asciiTheme="majorBidi" w:hAnsiTheme="majorBidi" w:cstheme="majorBidi"/>
                <w:sz w:val="24"/>
                <w:szCs w:val="24"/>
              </w:rPr>
            </w:pPr>
            <w:r w:rsidRPr="00C63D4B">
              <w:rPr>
                <w:rFonts w:asciiTheme="majorBidi" w:hAnsiTheme="majorBidi" w:cstheme="majorBidi"/>
                <w:sz w:val="24"/>
                <w:szCs w:val="24"/>
              </w:rPr>
              <w:t>0.0243902</w:t>
            </w:r>
          </w:p>
        </w:tc>
      </w:tr>
      <w:tr w:rsidR="00F360CC" w:rsidRPr="00715078" w14:paraId="563FBB9F" w14:textId="77777777" w:rsidTr="00184FD7">
        <w:trPr>
          <w:trHeight w:val="20"/>
        </w:trPr>
        <w:tc>
          <w:tcPr>
            <w:tcW w:w="3116" w:type="dxa"/>
            <w:tcBorders>
              <w:right w:val="single" w:sz="4" w:space="0" w:color="auto"/>
            </w:tcBorders>
            <w:hideMark/>
          </w:tcPr>
          <w:p w14:paraId="04752A2A" w14:textId="77777777" w:rsidR="00F360CC" w:rsidRPr="00C63D4B" w:rsidRDefault="00F360CC" w:rsidP="00184FD7">
            <w:pPr>
              <w:jc w:val="right"/>
              <w:rPr>
                <w:rFonts w:asciiTheme="majorBidi" w:hAnsiTheme="majorBidi" w:cstheme="majorBidi"/>
                <w:sz w:val="24"/>
                <w:szCs w:val="24"/>
              </w:rPr>
            </w:pPr>
            <w:r w:rsidRPr="00C63D4B">
              <w:rPr>
                <w:rFonts w:asciiTheme="majorBidi" w:hAnsiTheme="majorBidi" w:cstheme="majorBidi"/>
                <w:sz w:val="24"/>
                <w:szCs w:val="24"/>
              </w:rPr>
              <w:t>June 2021</w:t>
            </w:r>
          </w:p>
        </w:tc>
        <w:tc>
          <w:tcPr>
            <w:tcW w:w="3117" w:type="dxa"/>
            <w:tcBorders>
              <w:left w:val="single" w:sz="4" w:space="0" w:color="auto"/>
              <w:right w:val="single" w:sz="4" w:space="0" w:color="auto"/>
            </w:tcBorders>
          </w:tcPr>
          <w:p w14:paraId="1DDF3D37" w14:textId="77777777" w:rsidR="00F360CC" w:rsidRPr="00C63D4B" w:rsidRDefault="00F360CC" w:rsidP="00184FD7">
            <w:pPr>
              <w:jc w:val="center"/>
              <w:rPr>
                <w:rFonts w:asciiTheme="majorBidi" w:hAnsiTheme="majorBidi" w:cstheme="majorBidi"/>
                <w:sz w:val="24"/>
                <w:szCs w:val="24"/>
              </w:rPr>
            </w:pPr>
            <w:r w:rsidRPr="00C63D4B">
              <w:rPr>
                <w:rFonts w:asciiTheme="majorBidi" w:hAnsiTheme="majorBidi" w:cstheme="majorBidi"/>
                <w:sz w:val="24"/>
                <w:szCs w:val="24"/>
              </w:rPr>
              <w:t>28.655</w:t>
            </w:r>
          </w:p>
        </w:tc>
        <w:tc>
          <w:tcPr>
            <w:tcW w:w="3117" w:type="dxa"/>
            <w:tcBorders>
              <w:left w:val="single" w:sz="4" w:space="0" w:color="auto"/>
            </w:tcBorders>
          </w:tcPr>
          <w:p w14:paraId="183C240D" w14:textId="77777777" w:rsidR="00F360CC" w:rsidRPr="00C63D4B" w:rsidRDefault="00F360CC" w:rsidP="00184FD7">
            <w:pPr>
              <w:rPr>
                <w:rFonts w:asciiTheme="majorBidi" w:hAnsiTheme="majorBidi" w:cstheme="majorBidi"/>
                <w:sz w:val="24"/>
                <w:szCs w:val="24"/>
              </w:rPr>
            </w:pPr>
            <w:r w:rsidRPr="00C63D4B">
              <w:rPr>
                <w:rFonts w:asciiTheme="majorBidi" w:hAnsiTheme="majorBidi" w:cstheme="majorBidi"/>
                <w:sz w:val="24"/>
                <w:szCs w:val="24"/>
              </w:rPr>
              <w:t>0.0243902</w:t>
            </w:r>
          </w:p>
        </w:tc>
      </w:tr>
      <w:tr w:rsidR="00F360CC" w:rsidRPr="00715078" w14:paraId="5415D358" w14:textId="77777777" w:rsidTr="00184FD7">
        <w:trPr>
          <w:trHeight w:val="20"/>
        </w:trPr>
        <w:tc>
          <w:tcPr>
            <w:tcW w:w="3116" w:type="dxa"/>
            <w:tcBorders>
              <w:right w:val="single" w:sz="4" w:space="0" w:color="auto"/>
            </w:tcBorders>
            <w:hideMark/>
          </w:tcPr>
          <w:p w14:paraId="660DA5BD" w14:textId="77777777" w:rsidR="00F360CC" w:rsidRPr="00C63D4B" w:rsidRDefault="00F360CC" w:rsidP="00184FD7">
            <w:pPr>
              <w:jc w:val="right"/>
              <w:rPr>
                <w:rFonts w:asciiTheme="majorBidi" w:hAnsiTheme="majorBidi" w:cstheme="majorBidi"/>
                <w:sz w:val="24"/>
                <w:szCs w:val="24"/>
              </w:rPr>
            </w:pPr>
            <w:r w:rsidRPr="00C63D4B">
              <w:rPr>
                <w:rFonts w:asciiTheme="majorBidi" w:hAnsiTheme="majorBidi" w:cstheme="majorBidi"/>
                <w:sz w:val="24"/>
                <w:szCs w:val="24"/>
              </w:rPr>
              <w:t>July 2021</w:t>
            </w:r>
          </w:p>
        </w:tc>
        <w:tc>
          <w:tcPr>
            <w:tcW w:w="3117" w:type="dxa"/>
            <w:tcBorders>
              <w:left w:val="single" w:sz="4" w:space="0" w:color="auto"/>
              <w:right w:val="single" w:sz="4" w:space="0" w:color="auto"/>
            </w:tcBorders>
          </w:tcPr>
          <w:p w14:paraId="349C41D7" w14:textId="77777777" w:rsidR="00F360CC" w:rsidRPr="00C63D4B" w:rsidRDefault="00F360CC" w:rsidP="00184FD7">
            <w:pPr>
              <w:jc w:val="center"/>
              <w:rPr>
                <w:rFonts w:asciiTheme="majorBidi" w:hAnsiTheme="majorBidi" w:cstheme="majorBidi"/>
                <w:sz w:val="24"/>
                <w:szCs w:val="24"/>
              </w:rPr>
            </w:pPr>
            <w:r w:rsidRPr="00C63D4B">
              <w:rPr>
                <w:rFonts w:asciiTheme="majorBidi" w:hAnsiTheme="majorBidi" w:cstheme="majorBidi"/>
                <w:sz w:val="24"/>
                <w:szCs w:val="24"/>
              </w:rPr>
              <w:t>27.258</w:t>
            </w:r>
          </w:p>
        </w:tc>
        <w:tc>
          <w:tcPr>
            <w:tcW w:w="3117" w:type="dxa"/>
            <w:tcBorders>
              <w:left w:val="single" w:sz="4" w:space="0" w:color="auto"/>
            </w:tcBorders>
          </w:tcPr>
          <w:p w14:paraId="6996AA72" w14:textId="77777777" w:rsidR="00F360CC" w:rsidRPr="00C63D4B" w:rsidRDefault="00F360CC" w:rsidP="00184FD7">
            <w:pPr>
              <w:rPr>
                <w:rFonts w:asciiTheme="majorBidi" w:hAnsiTheme="majorBidi" w:cstheme="majorBidi"/>
                <w:sz w:val="24"/>
                <w:szCs w:val="24"/>
              </w:rPr>
            </w:pPr>
            <w:r w:rsidRPr="00C63D4B">
              <w:rPr>
                <w:rFonts w:asciiTheme="majorBidi" w:hAnsiTheme="majorBidi" w:cstheme="majorBidi"/>
                <w:sz w:val="24"/>
                <w:szCs w:val="24"/>
              </w:rPr>
              <w:t>0.0243902</w:t>
            </w:r>
          </w:p>
        </w:tc>
      </w:tr>
      <w:tr w:rsidR="00F360CC" w:rsidRPr="00715078" w14:paraId="28D9F4A9" w14:textId="77777777" w:rsidTr="00184FD7">
        <w:trPr>
          <w:trHeight w:val="20"/>
        </w:trPr>
        <w:tc>
          <w:tcPr>
            <w:tcW w:w="3116" w:type="dxa"/>
            <w:tcBorders>
              <w:right w:val="single" w:sz="4" w:space="0" w:color="auto"/>
            </w:tcBorders>
            <w:hideMark/>
          </w:tcPr>
          <w:p w14:paraId="6459C171" w14:textId="77777777" w:rsidR="00F360CC" w:rsidRPr="00C63D4B" w:rsidRDefault="00F360CC" w:rsidP="00184FD7">
            <w:pPr>
              <w:jc w:val="right"/>
              <w:rPr>
                <w:rFonts w:asciiTheme="majorBidi" w:hAnsiTheme="majorBidi" w:cstheme="majorBidi"/>
                <w:sz w:val="24"/>
                <w:szCs w:val="24"/>
              </w:rPr>
            </w:pPr>
            <w:r w:rsidRPr="00C63D4B">
              <w:rPr>
                <w:rFonts w:asciiTheme="majorBidi" w:hAnsiTheme="majorBidi" w:cstheme="majorBidi"/>
                <w:sz w:val="24"/>
                <w:szCs w:val="24"/>
              </w:rPr>
              <w:t>August 2021</w:t>
            </w:r>
          </w:p>
        </w:tc>
        <w:tc>
          <w:tcPr>
            <w:tcW w:w="3117" w:type="dxa"/>
            <w:tcBorders>
              <w:left w:val="single" w:sz="4" w:space="0" w:color="auto"/>
              <w:right w:val="single" w:sz="4" w:space="0" w:color="auto"/>
            </w:tcBorders>
          </w:tcPr>
          <w:p w14:paraId="625EEA29" w14:textId="77777777" w:rsidR="00F360CC" w:rsidRPr="00C63D4B" w:rsidRDefault="00F360CC" w:rsidP="00184FD7">
            <w:pPr>
              <w:jc w:val="center"/>
              <w:rPr>
                <w:rFonts w:asciiTheme="majorBidi" w:hAnsiTheme="majorBidi" w:cstheme="majorBidi"/>
                <w:sz w:val="24"/>
                <w:szCs w:val="24"/>
              </w:rPr>
            </w:pPr>
            <w:r w:rsidRPr="00C63D4B">
              <w:rPr>
                <w:rFonts w:asciiTheme="majorBidi" w:hAnsiTheme="majorBidi" w:cstheme="majorBidi"/>
                <w:sz w:val="24"/>
                <w:szCs w:val="24"/>
              </w:rPr>
              <w:t>26.243</w:t>
            </w:r>
          </w:p>
        </w:tc>
        <w:tc>
          <w:tcPr>
            <w:tcW w:w="3117" w:type="dxa"/>
            <w:tcBorders>
              <w:left w:val="single" w:sz="4" w:space="0" w:color="auto"/>
            </w:tcBorders>
          </w:tcPr>
          <w:p w14:paraId="6E4A0620" w14:textId="77777777" w:rsidR="00F360CC" w:rsidRPr="00C63D4B" w:rsidRDefault="00F360CC" w:rsidP="00184FD7">
            <w:pPr>
              <w:rPr>
                <w:rFonts w:asciiTheme="majorBidi" w:hAnsiTheme="majorBidi" w:cstheme="majorBidi"/>
                <w:sz w:val="24"/>
                <w:szCs w:val="24"/>
              </w:rPr>
            </w:pPr>
            <w:r w:rsidRPr="00C63D4B">
              <w:rPr>
                <w:rFonts w:asciiTheme="majorBidi" w:hAnsiTheme="majorBidi" w:cstheme="majorBidi"/>
                <w:sz w:val="24"/>
                <w:szCs w:val="24"/>
              </w:rPr>
              <w:t>0.0243902</w:t>
            </w:r>
          </w:p>
        </w:tc>
      </w:tr>
      <w:tr w:rsidR="00F360CC" w:rsidRPr="00715078" w14:paraId="6F8C24B8" w14:textId="77777777" w:rsidTr="00184FD7">
        <w:trPr>
          <w:trHeight w:val="20"/>
        </w:trPr>
        <w:tc>
          <w:tcPr>
            <w:tcW w:w="3116" w:type="dxa"/>
            <w:tcBorders>
              <w:right w:val="single" w:sz="4" w:space="0" w:color="auto"/>
            </w:tcBorders>
            <w:hideMark/>
          </w:tcPr>
          <w:p w14:paraId="4C8BB4C3" w14:textId="77777777" w:rsidR="00F360CC" w:rsidRPr="00C63D4B" w:rsidRDefault="00F360CC" w:rsidP="00184FD7">
            <w:pPr>
              <w:jc w:val="right"/>
              <w:rPr>
                <w:rFonts w:asciiTheme="majorBidi" w:hAnsiTheme="majorBidi" w:cstheme="majorBidi"/>
                <w:sz w:val="24"/>
                <w:szCs w:val="24"/>
              </w:rPr>
            </w:pPr>
            <w:r w:rsidRPr="00C63D4B">
              <w:rPr>
                <w:rFonts w:asciiTheme="majorBidi" w:hAnsiTheme="majorBidi" w:cstheme="majorBidi"/>
                <w:sz w:val="24"/>
                <w:szCs w:val="24"/>
              </w:rPr>
              <w:t>September 2021</w:t>
            </w:r>
          </w:p>
        </w:tc>
        <w:tc>
          <w:tcPr>
            <w:tcW w:w="3117" w:type="dxa"/>
            <w:tcBorders>
              <w:left w:val="single" w:sz="4" w:space="0" w:color="auto"/>
              <w:right w:val="single" w:sz="4" w:space="0" w:color="auto"/>
            </w:tcBorders>
          </w:tcPr>
          <w:p w14:paraId="26A26D9D" w14:textId="77777777" w:rsidR="00F360CC" w:rsidRPr="00C63D4B" w:rsidRDefault="00F360CC" w:rsidP="00184FD7">
            <w:pPr>
              <w:jc w:val="center"/>
              <w:rPr>
                <w:rFonts w:asciiTheme="majorBidi" w:hAnsiTheme="majorBidi" w:cstheme="majorBidi"/>
                <w:sz w:val="24"/>
                <w:szCs w:val="24"/>
              </w:rPr>
            </w:pPr>
            <w:r w:rsidRPr="00C63D4B">
              <w:rPr>
                <w:rFonts w:asciiTheme="majorBidi" w:hAnsiTheme="majorBidi" w:cstheme="majorBidi"/>
                <w:sz w:val="24"/>
                <w:szCs w:val="24"/>
              </w:rPr>
              <w:t>28.755</w:t>
            </w:r>
          </w:p>
        </w:tc>
        <w:tc>
          <w:tcPr>
            <w:tcW w:w="3117" w:type="dxa"/>
            <w:tcBorders>
              <w:left w:val="single" w:sz="4" w:space="0" w:color="auto"/>
            </w:tcBorders>
          </w:tcPr>
          <w:p w14:paraId="4053F288" w14:textId="77777777" w:rsidR="00F360CC" w:rsidRPr="00C63D4B" w:rsidRDefault="00F360CC" w:rsidP="00184FD7">
            <w:pPr>
              <w:rPr>
                <w:rFonts w:asciiTheme="majorBidi" w:hAnsiTheme="majorBidi" w:cstheme="majorBidi"/>
                <w:sz w:val="24"/>
                <w:szCs w:val="24"/>
              </w:rPr>
            </w:pPr>
            <w:r w:rsidRPr="00C63D4B">
              <w:rPr>
                <w:rFonts w:asciiTheme="majorBidi" w:hAnsiTheme="majorBidi" w:cstheme="majorBidi"/>
                <w:sz w:val="24"/>
                <w:szCs w:val="24"/>
              </w:rPr>
              <w:t>0.0243902</w:t>
            </w:r>
          </w:p>
        </w:tc>
      </w:tr>
      <w:tr w:rsidR="00F360CC" w:rsidRPr="00715078" w14:paraId="03FE7650" w14:textId="77777777" w:rsidTr="00184FD7">
        <w:trPr>
          <w:trHeight w:val="20"/>
        </w:trPr>
        <w:tc>
          <w:tcPr>
            <w:tcW w:w="3116" w:type="dxa"/>
            <w:tcBorders>
              <w:right w:val="single" w:sz="4" w:space="0" w:color="auto"/>
            </w:tcBorders>
            <w:hideMark/>
          </w:tcPr>
          <w:p w14:paraId="6E699476" w14:textId="77777777" w:rsidR="00F360CC" w:rsidRPr="00C63D4B" w:rsidRDefault="00F360CC" w:rsidP="00184FD7">
            <w:pPr>
              <w:jc w:val="right"/>
              <w:rPr>
                <w:rFonts w:asciiTheme="majorBidi" w:hAnsiTheme="majorBidi" w:cstheme="majorBidi"/>
                <w:sz w:val="24"/>
                <w:szCs w:val="24"/>
              </w:rPr>
            </w:pPr>
            <w:r w:rsidRPr="00C63D4B">
              <w:rPr>
                <w:rFonts w:asciiTheme="majorBidi" w:hAnsiTheme="majorBidi" w:cstheme="majorBidi"/>
                <w:sz w:val="24"/>
                <w:szCs w:val="24"/>
              </w:rPr>
              <w:t>October 2021</w:t>
            </w:r>
          </w:p>
        </w:tc>
        <w:tc>
          <w:tcPr>
            <w:tcW w:w="3117" w:type="dxa"/>
            <w:tcBorders>
              <w:left w:val="single" w:sz="4" w:space="0" w:color="auto"/>
              <w:right w:val="single" w:sz="4" w:space="0" w:color="auto"/>
            </w:tcBorders>
          </w:tcPr>
          <w:p w14:paraId="6371692D" w14:textId="77777777" w:rsidR="00F360CC" w:rsidRPr="00C63D4B" w:rsidRDefault="00F360CC" w:rsidP="00184FD7">
            <w:pPr>
              <w:jc w:val="center"/>
              <w:rPr>
                <w:rFonts w:asciiTheme="majorBidi" w:hAnsiTheme="majorBidi" w:cstheme="majorBidi"/>
                <w:sz w:val="24"/>
                <w:szCs w:val="24"/>
              </w:rPr>
            </w:pPr>
            <w:r w:rsidRPr="00C63D4B">
              <w:rPr>
                <w:rFonts w:asciiTheme="majorBidi" w:hAnsiTheme="majorBidi" w:cstheme="majorBidi"/>
                <w:sz w:val="24"/>
                <w:szCs w:val="24"/>
              </w:rPr>
              <w:t>25.534</w:t>
            </w:r>
          </w:p>
        </w:tc>
        <w:tc>
          <w:tcPr>
            <w:tcW w:w="3117" w:type="dxa"/>
            <w:tcBorders>
              <w:left w:val="single" w:sz="4" w:space="0" w:color="auto"/>
            </w:tcBorders>
          </w:tcPr>
          <w:p w14:paraId="10DCDC5C" w14:textId="77777777" w:rsidR="00F360CC" w:rsidRPr="00C63D4B" w:rsidRDefault="00F360CC" w:rsidP="00184FD7">
            <w:pPr>
              <w:rPr>
                <w:rFonts w:asciiTheme="majorBidi" w:hAnsiTheme="majorBidi" w:cstheme="majorBidi"/>
                <w:sz w:val="24"/>
                <w:szCs w:val="24"/>
              </w:rPr>
            </w:pPr>
            <w:r w:rsidRPr="00C63D4B">
              <w:rPr>
                <w:rFonts w:asciiTheme="majorBidi" w:hAnsiTheme="majorBidi" w:cstheme="majorBidi"/>
                <w:sz w:val="24"/>
                <w:szCs w:val="24"/>
              </w:rPr>
              <w:t>0.0243902</w:t>
            </w:r>
          </w:p>
        </w:tc>
      </w:tr>
      <w:tr w:rsidR="00F360CC" w:rsidRPr="00715078" w14:paraId="01731387" w14:textId="77777777" w:rsidTr="00184FD7">
        <w:trPr>
          <w:trHeight w:val="20"/>
        </w:trPr>
        <w:tc>
          <w:tcPr>
            <w:tcW w:w="3116" w:type="dxa"/>
            <w:tcBorders>
              <w:right w:val="single" w:sz="4" w:space="0" w:color="auto"/>
            </w:tcBorders>
            <w:hideMark/>
          </w:tcPr>
          <w:p w14:paraId="540D9A14" w14:textId="77777777" w:rsidR="00F360CC" w:rsidRPr="00C63D4B" w:rsidRDefault="00F360CC" w:rsidP="00184FD7">
            <w:pPr>
              <w:jc w:val="right"/>
              <w:rPr>
                <w:rFonts w:asciiTheme="majorBidi" w:hAnsiTheme="majorBidi" w:cstheme="majorBidi"/>
                <w:sz w:val="24"/>
                <w:szCs w:val="24"/>
              </w:rPr>
            </w:pPr>
            <w:r w:rsidRPr="00C63D4B">
              <w:rPr>
                <w:rFonts w:asciiTheme="majorBidi" w:hAnsiTheme="majorBidi" w:cstheme="majorBidi"/>
                <w:sz w:val="24"/>
                <w:szCs w:val="24"/>
              </w:rPr>
              <w:t>November 2021</w:t>
            </w:r>
          </w:p>
        </w:tc>
        <w:tc>
          <w:tcPr>
            <w:tcW w:w="3117" w:type="dxa"/>
            <w:tcBorders>
              <w:left w:val="single" w:sz="4" w:space="0" w:color="auto"/>
              <w:right w:val="single" w:sz="4" w:space="0" w:color="auto"/>
            </w:tcBorders>
          </w:tcPr>
          <w:p w14:paraId="28DCC1E4" w14:textId="77777777" w:rsidR="00F360CC" w:rsidRPr="00C63D4B" w:rsidRDefault="00F360CC" w:rsidP="00184FD7">
            <w:pPr>
              <w:jc w:val="center"/>
              <w:rPr>
                <w:rFonts w:asciiTheme="majorBidi" w:hAnsiTheme="majorBidi" w:cstheme="majorBidi"/>
                <w:sz w:val="24"/>
                <w:szCs w:val="24"/>
              </w:rPr>
            </w:pPr>
            <w:r w:rsidRPr="00C63D4B">
              <w:rPr>
                <w:rFonts w:asciiTheme="majorBidi" w:hAnsiTheme="majorBidi" w:cstheme="majorBidi"/>
                <w:sz w:val="24"/>
                <w:szCs w:val="24"/>
              </w:rPr>
              <w:t>11.323</w:t>
            </w:r>
          </w:p>
        </w:tc>
        <w:tc>
          <w:tcPr>
            <w:tcW w:w="3117" w:type="dxa"/>
            <w:tcBorders>
              <w:left w:val="single" w:sz="4" w:space="0" w:color="auto"/>
            </w:tcBorders>
          </w:tcPr>
          <w:p w14:paraId="38070C63" w14:textId="77777777" w:rsidR="00F360CC" w:rsidRPr="00C63D4B" w:rsidRDefault="00F360CC" w:rsidP="00184FD7">
            <w:pPr>
              <w:rPr>
                <w:rFonts w:asciiTheme="majorBidi" w:hAnsiTheme="majorBidi" w:cstheme="majorBidi"/>
                <w:sz w:val="24"/>
                <w:szCs w:val="24"/>
              </w:rPr>
            </w:pPr>
            <w:r w:rsidRPr="00C63D4B">
              <w:rPr>
                <w:rFonts w:asciiTheme="majorBidi" w:hAnsiTheme="majorBidi" w:cstheme="majorBidi"/>
                <w:sz w:val="24"/>
                <w:szCs w:val="24"/>
              </w:rPr>
              <w:t>0.0243902</w:t>
            </w:r>
          </w:p>
        </w:tc>
      </w:tr>
      <w:tr w:rsidR="00F360CC" w:rsidRPr="00715078" w14:paraId="762F4718" w14:textId="77777777" w:rsidTr="00184FD7">
        <w:trPr>
          <w:trHeight w:val="20"/>
        </w:trPr>
        <w:tc>
          <w:tcPr>
            <w:tcW w:w="3116" w:type="dxa"/>
            <w:tcBorders>
              <w:right w:val="single" w:sz="4" w:space="0" w:color="auto"/>
            </w:tcBorders>
            <w:hideMark/>
          </w:tcPr>
          <w:p w14:paraId="36C0C230" w14:textId="77777777" w:rsidR="00F360CC" w:rsidRPr="00C63D4B" w:rsidRDefault="00F360CC" w:rsidP="00184FD7">
            <w:pPr>
              <w:jc w:val="right"/>
              <w:rPr>
                <w:rFonts w:asciiTheme="majorBidi" w:hAnsiTheme="majorBidi" w:cstheme="majorBidi"/>
                <w:sz w:val="24"/>
                <w:szCs w:val="24"/>
              </w:rPr>
            </w:pPr>
            <w:r w:rsidRPr="00C63D4B">
              <w:rPr>
                <w:rFonts w:asciiTheme="majorBidi" w:hAnsiTheme="majorBidi" w:cstheme="majorBidi"/>
                <w:sz w:val="24"/>
                <w:szCs w:val="24"/>
              </w:rPr>
              <w:t>December 2021</w:t>
            </w:r>
          </w:p>
        </w:tc>
        <w:tc>
          <w:tcPr>
            <w:tcW w:w="3117" w:type="dxa"/>
            <w:tcBorders>
              <w:left w:val="single" w:sz="4" w:space="0" w:color="auto"/>
              <w:right w:val="single" w:sz="4" w:space="0" w:color="auto"/>
            </w:tcBorders>
          </w:tcPr>
          <w:p w14:paraId="1BE6825C" w14:textId="77777777" w:rsidR="00F360CC" w:rsidRPr="00C63D4B" w:rsidRDefault="00F360CC" w:rsidP="00184FD7">
            <w:pPr>
              <w:jc w:val="center"/>
              <w:rPr>
                <w:rFonts w:asciiTheme="majorBidi" w:hAnsiTheme="majorBidi" w:cstheme="majorBidi"/>
                <w:sz w:val="24"/>
                <w:szCs w:val="24"/>
              </w:rPr>
            </w:pPr>
            <w:r w:rsidRPr="00C63D4B">
              <w:rPr>
                <w:rFonts w:asciiTheme="majorBidi" w:hAnsiTheme="majorBidi" w:cstheme="majorBidi"/>
                <w:sz w:val="24"/>
                <w:szCs w:val="24"/>
              </w:rPr>
              <w:t>17.588</w:t>
            </w:r>
          </w:p>
        </w:tc>
        <w:tc>
          <w:tcPr>
            <w:tcW w:w="3117" w:type="dxa"/>
            <w:tcBorders>
              <w:left w:val="single" w:sz="4" w:space="0" w:color="auto"/>
            </w:tcBorders>
          </w:tcPr>
          <w:p w14:paraId="7523B6F8" w14:textId="77777777" w:rsidR="00F360CC" w:rsidRPr="00C63D4B" w:rsidRDefault="00F360CC" w:rsidP="00184FD7">
            <w:pPr>
              <w:rPr>
                <w:rFonts w:asciiTheme="majorBidi" w:hAnsiTheme="majorBidi" w:cstheme="majorBidi"/>
                <w:sz w:val="24"/>
                <w:szCs w:val="24"/>
              </w:rPr>
            </w:pPr>
            <w:r w:rsidRPr="00C63D4B">
              <w:rPr>
                <w:rFonts w:asciiTheme="majorBidi" w:hAnsiTheme="majorBidi" w:cstheme="majorBidi"/>
                <w:sz w:val="24"/>
                <w:szCs w:val="24"/>
              </w:rPr>
              <w:t>0.0243902</w:t>
            </w:r>
          </w:p>
        </w:tc>
      </w:tr>
      <w:tr w:rsidR="00F360CC" w:rsidRPr="00715078" w14:paraId="7A0A2CEE" w14:textId="77777777" w:rsidTr="00184FD7">
        <w:trPr>
          <w:trHeight w:val="20"/>
        </w:trPr>
        <w:tc>
          <w:tcPr>
            <w:tcW w:w="3116" w:type="dxa"/>
            <w:tcBorders>
              <w:right w:val="single" w:sz="4" w:space="0" w:color="auto"/>
            </w:tcBorders>
            <w:hideMark/>
          </w:tcPr>
          <w:p w14:paraId="0EC75F6E" w14:textId="77777777" w:rsidR="00F360CC" w:rsidRPr="00C63D4B" w:rsidRDefault="00F360CC" w:rsidP="00184FD7">
            <w:pPr>
              <w:jc w:val="right"/>
              <w:rPr>
                <w:rFonts w:asciiTheme="majorBidi" w:hAnsiTheme="majorBidi" w:cstheme="majorBidi"/>
                <w:sz w:val="24"/>
                <w:szCs w:val="24"/>
              </w:rPr>
            </w:pPr>
            <w:r w:rsidRPr="00C63D4B">
              <w:rPr>
                <w:rFonts w:asciiTheme="majorBidi" w:hAnsiTheme="majorBidi" w:cstheme="majorBidi"/>
                <w:sz w:val="24"/>
                <w:szCs w:val="24"/>
              </w:rPr>
              <w:t>January 2022</w:t>
            </w:r>
          </w:p>
        </w:tc>
        <w:tc>
          <w:tcPr>
            <w:tcW w:w="3117" w:type="dxa"/>
            <w:tcBorders>
              <w:left w:val="single" w:sz="4" w:space="0" w:color="auto"/>
              <w:right w:val="single" w:sz="4" w:space="0" w:color="auto"/>
            </w:tcBorders>
          </w:tcPr>
          <w:p w14:paraId="11A4AE3E" w14:textId="77777777" w:rsidR="00F360CC" w:rsidRPr="00C63D4B" w:rsidRDefault="00F360CC" w:rsidP="00184FD7">
            <w:pPr>
              <w:jc w:val="center"/>
              <w:rPr>
                <w:rFonts w:asciiTheme="majorBidi" w:hAnsiTheme="majorBidi" w:cstheme="majorBidi"/>
                <w:sz w:val="24"/>
                <w:szCs w:val="24"/>
              </w:rPr>
            </w:pPr>
            <w:r w:rsidRPr="00C63D4B">
              <w:rPr>
                <w:rFonts w:asciiTheme="majorBidi" w:hAnsiTheme="majorBidi" w:cstheme="majorBidi"/>
                <w:sz w:val="24"/>
                <w:szCs w:val="24"/>
              </w:rPr>
              <w:t>16.714</w:t>
            </w:r>
          </w:p>
        </w:tc>
        <w:tc>
          <w:tcPr>
            <w:tcW w:w="3117" w:type="dxa"/>
            <w:tcBorders>
              <w:left w:val="single" w:sz="4" w:space="0" w:color="auto"/>
            </w:tcBorders>
          </w:tcPr>
          <w:p w14:paraId="75BD4B99" w14:textId="77777777" w:rsidR="00F360CC" w:rsidRPr="00C63D4B" w:rsidRDefault="00F360CC" w:rsidP="00184FD7">
            <w:pPr>
              <w:rPr>
                <w:rFonts w:asciiTheme="majorBidi" w:hAnsiTheme="majorBidi" w:cstheme="majorBidi"/>
                <w:sz w:val="24"/>
                <w:szCs w:val="24"/>
              </w:rPr>
            </w:pPr>
            <w:r w:rsidRPr="00C63D4B">
              <w:rPr>
                <w:rFonts w:asciiTheme="majorBidi" w:hAnsiTheme="majorBidi" w:cstheme="majorBidi"/>
                <w:sz w:val="24"/>
                <w:szCs w:val="24"/>
              </w:rPr>
              <w:t>0.0243902</w:t>
            </w:r>
          </w:p>
        </w:tc>
      </w:tr>
      <w:tr w:rsidR="00F360CC" w:rsidRPr="00715078" w14:paraId="2F1F0680" w14:textId="77777777" w:rsidTr="00184FD7">
        <w:trPr>
          <w:trHeight w:val="20"/>
        </w:trPr>
        <w:tc>
          <w:tcPr>
            <w:tcW w:w="3116" w:type="dxa"/>
            <w:tcBorders>
              <w:right w:val="single" w:sz="4" w:space="0" w:color="auto"/>
            </w:tcBorders>
            <w:hideMark/>
          </w:tcPr>
          <w:p w14:paraId="736AAC81" w14:textId="77777777" w:rsidR="00F360CC" w:rsidRPr="00C63D4B" w:rsidRDefault="00F360CC" w:rsidP="00184FD7">
            <w:pPr>
              <w:jc w:val="right"/>
              <w:rPr>
                <w:rFonts w:asciiTheme="majorBidi" w:hAnsiTheme="majorBidi" w:cstheme="majorBidi"/>
                <w:sz w:val="24"/>
                <w:szCs w:val="24"/>
              </w:rPr>
            </w:pPr>
            <w:r w:rsidRPr="00C63D4B">
              <w:rPr>
                <w:rFonts w:asciiTheme="majorBidi" w:hAnsiTheme="majorBidi" w:cstheme="majorBidi"/>
                <w:sz w:val="24"/>
                <w:szCs w:val="24"/>
              </w:rPr>
              <w:t>February 2022</w:t>
            </w:r>
          </w:p>
        </w:tc>
        <w:tc>
          <w:tcPr>
            <w:tcW w:w="3117" w:type="dxa"/>
            <w:tcBorders>
              <w:left w:val="single" w:sz="4" w:space="0" w:color="auto"/>
              <w:right w:val="single" w:sz="4" w:space="0" w:color="auto"/>
            </w:tcBorders>
          </w:tcPr>
          <w:p w14:paraId="5E68CF6A" w14:textId="77777777" w:rsidR="00F360CC" w:rsidRPr="00C63D4B" w:rsidRDefault="00F360CC" w:rsidP="00184FD7">
            <w:pPr>
              <w:jc w:val="center"/>
              <w:rPr>
                <w:rFonts w:asciiTheme="majorBidi" w:hAnsiTheme="majorBidi" w:cstheme="majorBidi"/>
                <w:sz w:val="24"/>
                <w:szCs w:val="24"/>
              </w:rPr>
            </w:pPr>
            <w:r w:rsidRPr="00C63D4B">
              <w:rPr>
                <w:rFonts w:asciiTheme="majorBidi" w:hAnsiTheme="majorBidi" w:cstheme="majorBidi"/>
                <w:sz w:val="24"/>
                <w:szCs w:val="24"/>
              </w:rPr>
              <w:t>21.025</w:t>
            </w:r>
          </w:p>
        </w:tc>
        <w:tc>
          <w:tcPr>
            <w:tcW w:w="3117" w:type="dxa"/>
            <w:tcBorders>
              <w:left w:val="single" w:sz="4" w:space="0" w:color="auto"/>
            </w:tcBorders>
          </w:tcPr>
          <w:p w14:paraId="75EA0DC4" w14:textId="77777777" w:rsidR="00F360CC" w:rsidRPr="00C63D4B" w:rsidRDefault="00F360CC" w:rsidP="00184FD7">
            <w:pPr>
              <w:rPr>
                <w:rFonts w:asciiTheme="majorBidi" w:hAnsiTheme="majorBidi" w:cstheme="majorBidi"/>
                <w:sz w:val="24"/>
                <w:szCs w:val="24"/>
              </w:rPr>
            </w:pPr>
            <w:r w:rsidRPr="00C63D4B">
              <w:rPr>
                <w:rFonts w:asciiTheme="majorBidi" w:hAnsiTheme="majorBidi" w:cstheme="majorBidi"/>
                <w:sz w:val="24"/>
                <w:szCs w:val="24"/>
              </w:rPr>
              <w:t>0.0243902</w:t>
            </w:r>
          </w:p>
        </w:tc>
      </w:tr>
      <w:tr w:rsidR="00F360CC" w:rsidRPr="00715078" w14:paraId="6C600269" w14:textId="77777777" w:rsidTr="00184FD7">
        <w:trPr>
          <w:trHeight w:val="20"/>
        </w:trPr>
        <w:tc>
          <w:tcPr>
            <w:tcW w:w="3116" w:type="dxa"/>
            <w:tcBorders>
              <w:right w:val="single" w:sz="4" w:space="0" w:color="auto"/>
            </w:tcBorders>
            <w:hideMark/>
          </w:tcPr>
          <w:p w14:paraId="54491E5C" w14:textId="77777777" w:rsidR="00F360CC" w:rsidRPr="00C63D4B" w:rsidRDefault="00F360CC" w:rsidP="00184FD7">
            <w:pPr>
              <w:jc w:val="right"/>
              <w:rPr>
                <w:rFonts w:asciiTheme="majorBidi" w:hAnsiTheme="majorBidi" w:cstheme="majorBidi"/>
                <w:sz w:val="24"/>
                <w:szCs w:val="24"/>
              </w:rPr>
            </w:pPr>
            <w:r w:rsidRPr="00C63D4B">
              <w:rPr>
                <w:rFonts w:asciiTheme="majorBidi" w:hAnsiTheme="majorBidi" w:cstheme="majorBidi"/>
                <w:sz w:val="24"/>
                <w:szCs w:val="24"/>
              </w:rPr>
              <w:t>March 2022</w:t>
            </w:r>
          </w:p>
        </w:tc>
        <w:tc>
          <w:tcPr>
            <w:tcW w:w="3117" w:type="dxa"/>
            <w:tcBorders>
              <w:left w:val="single" w:sz="4" w:space="0" w:color="auto"/>
              <w:right w:val="single" w:sz="4" w:space="0" w:color="auto"/>
            </w:tcBorders>
          </w:tcPr>
          <w:p w14:paraId="141EA2AA" w14:textId="77777777" w:rsidR="00F360CC" w:rsidRPr="00C63D4B" w:rsidRDefault="00F360CC" w:rsidP="00184FD7">
            <w:pPr>
              <w:jc w:val="center"/>
              <w:rPr>
                <w:rFonts w:asciiTheme="majorBidi" w:hAnsiTheme="majorBidi" w:cstheme="majorBidi"/>
                <w:sz w:val="24"/>
                <w:szCs w:val="24"/>
              </w:rPr>
            </w:pPr>
            <w:r w:rsidRPr="00C63D4B">
              <w:rPr>
                <w:rFonts w:asciiTheme="majorBidi" w:hAnsiTheme="majorBidi" w:cstheme="majorBidi"/>
                <w:sz w:val="24"/>
                <w:szCs w:val="24"/>
              </w:rPr>
              <w:t>19.532</w:t>
            </w:r>
          </w:p>
        </w:tc>
        <w:tc>
          <w:tcPr>
            <w:tcW w:w="3117" w:type="dxa"/>
            <w:tcBorders>
              <w:left w:val="single" w:sz="4" w:space="0" w:color="auto"/>
            </w:tcBorders>
          </w:tcPr>
          <w:p w14:paraId="7653152B" w14:textId="77777777" w:rsidR="00F360CC" w:rsidRPr="00C63D4B" w:rsidRDefault="00F360CC" w:rsidP="00184FD7">
            <w:pPr>
              <w:rPr>
                <w:rFonts w:asciiTheme="majorBidi" w:hAnsiTheme="majorBidi" w:cstheme="majorBidi"/>
                <w:sz w:val="24"/>
                <w:szCs w:val="24"/>
              </w:rPr>
            </w:pPr>
            <w:r w:rsidRPr="00C63D4B">
              <w:rPr>
                <w:rFonts w:asciiTheme="majorBidi" w:hAnsiTheme="majorBidi" w:cstheme="majorBidi"/>
                <w:sz w:val="24"/>
                <w:szCs w:val="24"/>
              </w:rPr>
              <w:t>0.0243902</w:t>
            </w:r>
          </w:p>
        </w:tc>
      </w:tr>
      <w:tr w:rsidR="00F360CC" w:rsidRPr="00715078" w14:paraId="10E4BE0B" w14:textId="77777777" w:rsidTr="00184FD7">
        <w:trPr>
          <w:trHeight w:val="20"/>
        </w:trPr>
        <w:tc>
          <w:tcPr>
            <w:tcW w:w="3116" w:type="dxa"/>
            <w:tcBorders>
              <w:right w:val="single" w:sz="4" w:space="0" w:color="auto"/>
            </w:tcBorders>
            <w:hideMark/>
          </w:tcPr>
          <w:p w14:paraId="3A4976A6" w14:textId="77777777" w:rsidR="00F360CC" w:rsidRPr="00C63D4B" w:rsidRDefault="00F360CC" w:rsidP="00184FD7">
            <w:pPr>
              <w:jc w:val="right"/>
              <w:rPr>
                <w:rFonts w:asciiTheme="majorBidi" w:hAnsiTheme="majorBidi" w:cstheme="majorBidi"/>
                <w:sz w:val="24"/>
                <w:szCs w:val="24"/>
              </w:rPr>
            </w:pPr>
            <w:r w:rsidRPr="00C63D4B">
              <w:rPr>
                <w:rFonts w:asciiTheme="majorBidi" w:hAnsiTheme="majorBidi" w:cstheme="majorBidi"/>
                <w:sz w:val="24"/>
                <w:szCs w:val="24"/>
              </w:rPr>
              <w:t>April 2022</w:t>
            </w:r>
          </w:p>
        </w:tc>
        <w:tc>
          <w:tcPr>
            <w:tcW w:w="3117" w:type="dxa"/>
            <w:tcBorders>
              <w:left w:val="single" w:sz="4" w:space="0" w:color="auto"/>
              <w:right w:val="single" w:sz="4" w:space="0" w:color="auto"/>
            </w:tcBorders>
          </w:tcPr>
          <w:p w14:paraId="2F598590" w14:textId="77777777" w:rsidR="00F360CC" w:rsidRPr="00C63D4B" w:rsidRDefault="00F360CC" w:rsidP="00184FD7">
            <w:pPr>
              <w:jc w:val="center"/>
              <w:rPr>
                <w:rFonts w:asciiTheme="majorBidi" w:hAnsiTheme="majorBidi" w:cstheme="majorBidi"/>
                <w:sz w:val="24"/>
                <w:szCs w:val="24"/>
              </w:rPr>
            </w:pPr>
            <w:r w:rsidRPr="00C63D4B">
              <w:rPr>
                <w:rFonts w:asciiTheme="majorBidi" w:hAnsiTheme="majorBidi" w:cstheme="majorBidi"/>
                <w:sz w:val="24"/>
                <w:szCs w:val="24"/>
              </w:rPr>
              <w:t>25.05</w:t>
            </w:r>
          </w:p>
        </w:tc>
        <w:tc>
          <w:tcPr>
            <w:tcW w:w="3117" w:type="dxa"/>
            <w:tcBorders>
              <w:left w:val="single" w:sz="4" w:space="0" w:color="auto"/>
            </w:tcBorders>
          </w:tcPr>
          <w:p w14:paraId="1865B530" w14:textId="77777777" w:rsidR="00F360CC" w:rsidRPr="00C63D4B" w:rsidRDefault="00F360CC" w:rsidP="00184FD7">
            <w:pPr>
              <w:rPr>
                <w:rFonts w:asciiTheme="majorBidi" w:hAnsiTheme="majorBidi" w:cstheme="majorBidi"/>
                <w:sz w:val="24"/>
                <w:szCs w:val="24"/>
              </w:rPr>
            </w:pPr>
            <w:r w:rsidRPr="00C63D4B">
              <w:rPr>
                <w:rFonts w:asciiTheme="majorBidi" w:hAnsiTheme="majorBidi" w:cstheme="majorBidi"/>
                <w:sz w:val="24"/>
                <w:szCs w:val="24"/>
              </w:rPr>
              <w:t>0.0243902</w:t>
            </w:r>
          </w:p>
        </w:tc>
      </w:tr>
      <w:tr w:rsidR="00F360CC" w:rsidRPr="00715078" w14:paraId="624FCDB4" w14:textId="77777777" w:rsidTr="00184FD7">
        <w:trPr>
          <w:trHeight w:val="20"/>
        </w:trPr>
        <w:tc>
          <w:tcPr>
            <w:tcW w:w="3116" w:type="dxa"/>
            <w:tcBorders>
              <w:right w:val="single" w:sz="4" w:space="0" w:color="auto"/>
            </w:tcBorders>
            <w:hideMark/>
          </w:tcPr>
          <w:p w14:paraId="325B6A0A" w14:textId="77777777" w:rsidR="00F360CC" w:rsidRPr="00C63D4B" w:rsidRDefault="00F360CC" w:rsidP="00184FD7">
            <w:pPr>
              <w:jc w:val="right"/>
              <w:rPr>
                <w:rFonts w:asciiTheme="majorBidi" w:hAnsiTheme="majorBidi" w:cstheme="majorBidi"/>
                <w:sz w:val="24"/>
                <w:szCs w:val="24"/>
              </w:rPr>
            </w:pPr>
            <w:r w:rsidRPr="00C63D4B">
              <w:rPr>
                <w:rFonts w:asciiTheme="majorBidi" w:hAnsiTheme="majorBidi" w:cstheme="majorBidi"/>
                <w:sz w:val="24"/>
                <w:szCs w:val="24"/>
              </w:rPr>
              <w:t>May 2022</w:t>
            </w:r>
          </w:p>
        </w:tc>
        <w:tc>
          <w:tcPr>
            <w:tcW w:w="3117" w:type="dxa"/>
            <w:tcBorders>
              <w:left w:val="single" w:sz="4" w:space="0" w:color="auto"/>
              <w:right w:val="single" w:sz="4" w:space="0" w:color="auto"/>
            </w:tcBorders>
          </w:tcPr>
          <w:p w14:paraId="77FFC464" w14:textId="77777777" w:rsidR="00F360CC" w:rsidRPr="00C63D4B" w:rsidRDefault="00F360CC" w:rsidP="00184FD7">
            <w:pPr>
              <w:jc w:val="center"/>
              <w:rPr>
                <w:rFonts w:asciiTheme="majorBidi" w:hAnsiTheme="majorBidi" w:cstheme="majorBidi"/>
                <w:sz w:val="24"/>
                <w:szCs w:val="24"/>
              </w:rPr>
            </w:pPr>
            <w:r w:rsidRPr="00C63D4B">
              <w:rPr>
                <w:rFonts w:asciiTheme="majorBidi" w:hAnsiTheme="majorBidi" w:cstheme="majorBidi"/>
                <w:sz w:val="24"/>
                <w:szCs w:val="24"/>
              </w:rPr>
              <w:t>51.128</w:t>
            </w:r>
          </w:p>
        </w:tc>
        <w:tc>
          <w:tcPr>
            <w:tcW w:w="3117" w:type="dxa"/>
            <w:tcBorders>
              <w:left w:val="single" w:sz="4" w:space="0" w:color="auto"/>
            </w:tcBorders>
          </w:tcPr>
          <w:p w14:paraId="2A1E2A77" w14:textId="77777777" w:rsidR="00F360CC" w:rsidRPr="00C63D4B" w:rsidRDefault="00F360CC" w:rsidP="00184FD7">
            <w:pPr>
              <w:rPr>
                <w:rFonts w:asciiTheme="majorBidi" w:hAnsiTheme="majorBidi" w:cstheme="majorBidi"/>
                <w:sz w:val="24"/>
                <w:szCs w:val="24"/>
              </w:rPr>
            </w:pPr>
            <w:r w:rsidRPr="00C63D4B">
              <w:rPr>
                <w:rFonts w:asciiTheme="majorBidi" w:hAnsiTheme="majorBidi" w:cstheme="majorBidi"/>
                <w:sz w:val="24"/>
                <w:szCs w:val="24"/>
              </w:rPr>
              <w:t>0.0243902</w:t>
            </w:r>
          </w:p>
        </w:tc>
      </w:tr>
      <w:tr w:rsidR="00F360CC" w:rsidRPr="00715078" w14:paraId="3049463A" w14:textId="77777777" w:rsidTr="00184FD7">
        <w:trPr>
          <w:trHeight w:val="20"/>
        </w:trPr>
        <w:tc>
          <w:tcPr>
            <w:tcW w:w="3116" w:type="dxa"/>
            <w:tcBorders>
              <w:right w:val="single" w:sz="4" w:space="0" w:color="auto"/>
            </w:tcBorders>
            <w:hideMark/>
          </w:tcPr>
          <w:p w14:paraId="2A934E41" w14:textId="77777777" w:rsidR="00F360CC" w:rsidRPr="00C63D4B" w:rsidRDefault="00F360CC" w:rsidP="00184FD7">
            <w:pPr>
              <w:jc w:val="right"/>
              <w:rPr>
                <w:rFonts w:asciiTheme="majorBidi" w:hAnsiTheme="majorBidi" w:cstheme="majorBidi"/>
                <w:sz w:val="24"/>
                <w:szCs w:val="24"/>
              </w:rPr>
            </w:pPr>
            <w:r w:rsidRPr="00C63D4B">
              <w:rPr>
                <w:rFonts w:asciiTheme="majorBidi" w:hAnsiTheme="majorBidi" w:cstheme="majorBidi"/>
                <w:sz w:val="24"/>
                <w:szCs w:val="24"/>
              </w:rPr>
              <w:t>June 2022</w:t>
            </w:r>
          </w:p>
        </w:tc>
        <w:tc>
          <w:tcPr>
            <w:tcW w:w="3117" w:type="dxa"/>
            <w:tcBorders>
              <w:left w:val="single" w:sz="4" w:space="0" w:color="auto"/>
              <w:right w:val="single" w:sz="4" w:space="0" w:color="auto"/>
            </w:tcBorders>
          </w:tcPr>
          <w:p w14:paraId="702DE19C" w14:textId="77777777" w:rsidR="00F360CC" w:rsidRPr="00C63D4B" w:rsidRDefault="00F360CC" w:rsidP="00184FD7">
            <w:pPr>
              <w:jc w:val="center"/>
              <w:rPr>
                <w:rFonts w:asciiTheme="majorBidi" w:hAnsiTheme="majorBidi" w:cstheme="majorBidi"/>
                <w:sz w:val="24"/>
                <w:szCs w:val="24"/>
              </w:rPr>
            </w:pPr>
            <w:r w:rsidRPr="00C63D4B">
              <w:rPr>
                <w:rFonts w:asciiTheme="majorBidi" w:hAnsiTheme="majorBidi" w:cstheme="majorBidi"/>
                <w:sz w:val="24"/>
                <w:szCs w:val="24"/>
              </w:rPr>
              <w:t>9.883</w:t>
            </w:r>
          </w:p>
        </w:tc>
        <w:tc>
          <w:tcPr>
            <w:tcW w:w="3117" w:type="dxa"/>
            <w:tcBorders>
              <w:left w:val="single" w:sz="4" w:space="0" w:color="auto"/>
            </w:tcBorders>
          </w:tcPr>
          <w:p w14:paraId="2B35213F" w14:textId="77777777" w:rsidR="00F360CC" w:rsidRPr="00C63D4B" w:rsidRDefault="00F360CC" w:rsidP="00184FD7">
            <w:pPr>
              <w:rPr>
                <w:rFonts w:asciiTheme="majorBidi" w:hAnsiTheme="majorBidi" w:cstheme="majorBidi"/>
                <w:sz w:val="24"/>
                <w:szCs w:val="24"/>
              </w:rPr>
            </w:pPr>
            <w:r w:rsidRPr="00C63D4B">
              <w:rPr>
                <w:rFonts w:asciiTheme="majorBidi" w:hAnsiTheme="majorBidi" w:cstheme="majorBidi"/>
                <w:sz w:val="24"/>
                <w:szCs w:val="24"/>
              </w:rPr>
              <w:t>0.0243902</w:t>
            </w:r>
          </w:p>
        </w:tc>
      </w:tr>
      <w:tr w:rsidR="00F360CC" w:rsidRPr="00715078" w14:paraId="47B2E02B" w14:textId="77777777" w:rsidTr="00184FD7">
        <w:trPr>
          <w:trHeight w:val="20"/>
        </w:trPr>
        <w:tc>
          <w:tcPr>
            <w:tcW w:w="3116" w:type="dxa"/>
            <w:tcBorders>
              <w:right w:val="single" w:sz="4" w:space="0" w:color="auto"/>
            </w:tcBorders>
            <w:hideMark/>
          </w:tcPr>
          <w:p w14:paraId="0617FED5" w14:textId="77777777" w:rsidR="00F360CC" w:rsidRPr="00C63D4B" w:rsidRDefault="00F360CC" w:rsidP="00184FD7">
            <w:pPr>
              <w:jc w:val="right"/>
              <w:rPr>
                <w:rFonts w:asciiTheme="majorBidi" w:hAnsiTheme="majorBidi" w:cstheme="majorBidi"/>
                <w:sz w:val="24"/>
                <w:szCs w:val="24"/>
              </w:rPr>
            </w:pPr>
            <w:r w:rsidRPr="00C63D4B">
              <w:rPr>
                <w:rFonts w:asciiTheme="majorBidi" w:hAnsiTheme="majorBidi" w:cstheme="majorBidi"/>
                <w:sz w:val="24"/>
                <w:szCs w:val="24"/>
              </w:rPr>
              <w:t>July 2022</w:t>
            </w:r>
          </w:p>
        </w:tc>
        <w:tc>
          <w:tcPr>
            <w:tcW w:w="3117" w:type="dxa"/>
            <w:tcBorders>
              <w:left w:val="single" w:sz="4" w:space="0" w:color="auto"/>
              <w:right w:val="single" w:sz="4" w:space="0" w:color="auto"/>
            </w:tcBorders>
          </w:tcPr>
          <w:p w14:paraId="6197EA19" w14:textId="77777777" w:rsidR="00F360CC" w:rsidRPr="00C63D4B" w:rsidRDefault="00F360CC" w:rsidP="00184FD7">
            <w:pPr>
              <w:jc w:val="center"/>
              <w:rPr>
                <w:rFonts w:asciiTheme="majorBidi" w:hAnsiTheme="majorBidi" w:cstheme="majorBidi"/>
                <w:sz w:val="24"/>
                <w:szCs w:val="24"/>
              </w:rPr>
            </w:pPr>
            <w:r w:rsidRPr="00C63D4B">
              <w:rPr>
                <w:rFonts w:asciiTheme="majorBidi" w:hAnsiTheme="majorBidi" w:cstheme="majorBidi"/>
                <w:sz w:val="24"/>
                <w:szCs w:val="24"/>
              </w:rPr>
              <w:t>33.302</w:t>
            </w:r>
          </w:p>
        </w:tc>
        <w:tc>
          <w:tcPr>
            <w:tcW w:w="3117" w:type="dxa"/>
            <w:tcBorders>
              <w:left w:val="single" w:sz="4" w:space="0" w:color="auto"/>
            </w:tcBorders>
          </w:tcPr>
          <w:p w14:paraId="1BFCAE2E" w14:textId="77777777" w:rsidR="00F360CC" w:rsidRPr="00C63D4B" w:rsidRDefault="00F360CC" w:rsidP="00184FD7">
            <w:pPr>
              <w:rPr>
                <w:rFonts w:asciiTheme="majorBidi" w:hAnsiTheme="majorBidi" w:cstheme="majorBidi"/>
                <w:sz w:val="24"/>
                <w:szCs w:val="24"/>
              </w:rPr>
            </w:pPr>
            <w:r w:rsidRPr="00C63D4B">
              <w:rPr>
                <w:rFonts w:asciiTheme="majorBidi" w:hAnsiTheme="majorBidi" w:cstheme="majorBidi"/>
                <w:sz w:val="24"/>
                <w:szCs w:val="24"/>
              </w:rPr>
              <w:t>0.0243902</w:t>
            </w:r>
          </w:p>
        </w:tc>
      </w:tr>
      <w:tr w:rsidR="00F360CC" w:rsidRPr="00715078" w14:paraId="2F0DDC72" w14:textId="77777777" w:rsidTr="00184FD7">
        <w:trPr>
          <w:trHeight w:val="80"/>
        </w:trPr>
        <w:tc>
          <w:tcPr>
            <w:tcW w:w="3116" w:type="dxa"/>
            <w:tcBorders>
              <w:right w:val="single" w:sz="4" w:space="0" w:color="auto"/>
            </w:tcBorders>
            <w:hideMark/>
          </w:tcPr>
          <w:p w14:paraId="344EBA12" w14:textId="77777777" w:rsidR="00F360CC" w:rsidRPr="00C63D4B" w:rsidRDefault="00F360CC" w:rsidP="00184FD7">
            <w:pPr>
              <w:jc w:val="right"/>
              <w:rPr>
                <w:rFonts w:asciiTheme="majorBidi" w:hAnsiTheme="majorBidi" w:cstheme="majorBidi"/>
                <w:sz w:val="24"/>
                <w:szCs w:val="24"/>
              </w:rPr>
            </w:pPr>
            <w:r w:rsidRPr="00C63D4B">
              <w:rPr>
                <w:rFonts w:asciiTheme="majorBidi" w:hAnsiTheme="majorBidi" w:cstheme="majorBidi"/>
                <w:sz w:val="24"/>
                <w:szCs w:val="24"/>
              </w:rPr>
              <w:t>August 2022</w:t>
            </w:r>
          </w:p>
        </w:tc>
        <w:tc>
          <w:tcPr>
            <w:tcW w:w="3117" w:type="dxa"/>
            <w:tcBorders>
              <w:left w:val="single" w:sz="4" w:space="0" w:color="auto"/>
              <w:right w:val="single" w:sz="4" w:space="0" w:color="auto"/>
            </w:tcBorders>
          </w:tcPr>
          <w:p w14:paraId="4B452652" w14:textId="77777777" w:rsidR="00F360CC" w:rsidRPr="00C63D4B" w:rsidRDefault="00F360CC" w:rsidP="00184FD7">
            <w:pPr>
              <w:jc w:val="center"/>
              <w:rPr>
                <w:rFonts w:asciiTheme="majorBidi" w:hAnsiTheme="majorBidi" w:cstheme="majorBidi"/>
                <w:sz w:val="24"/>
                <w:szCs w:val="24"/>
              </w:rPr>
            </w:pPr>
            <w:r w:rsidRPr="00C63D4B">
              <w:rPr>
                <w:rFonts w:asciiTheme="majorBidi" w:hAnsiTheme="majorBidi" w:cstheme="majorBidi"/>
                <w:sz w:val="24"/>
                <w:szCs w:val="24"/>
              </w:rPr>
              <w:t>35.252</w:t>
            </w:r>
          </w:p>
        </w:tc>
        <w:tc>
          <w:tcPr>
            <w:tcW w:w="3117" w:type="dxa"/>
            <w:tcBorders>
              <w:left w:val="single" w:sz="4" w:space="0" w:color="auto"/>
            </w:tcBorders>
          </w:tcPr>
          <w:p w14:paraId="36DBF334" w14:textId="77777777" w:rsidR="00F360CC" w:rsidRPr="00C63D4B" w:rsidRDefault="00F360CC" w:rsidP="00184FD7">
            <w:pPr>
              <w:rPr>
                <w:rFonts w:asciiTheme="majorBidi" w:hAnsiTheme="majorBidi" w:cstheme="majorBidi"/>
                <w:sz w:val="24"/>
                <w:szCs w:val="24"/>
              </w:rPr>
            </w:pPr>
            <w:r w:rsidRPr="00C63D4B">
              <w:rPr>
                <w:rFonts w:asciiTheme="majorBidi" w:hAnsiTheme="majorBidi" w:cstheme="majorBidi"/>
                <w:sz w:val="24"/>
                <w:szCs w:val="24"/>
              </w:rPr>
              <w:t>0.0243902</w:t>
            </w:r>
          </w:p>
        </w:tc>
      </w:tr>
      <w:tr w:rsidR="00F360CC" w:rsidRPr="00715078" w14:paraId="393E6017" w14:textId="77777777" w:rsidTr="00184FD7">
        <w:trPr>
          <w:trHeight w:val="20"/>
        </w:trPr>
        <w:tc>
          <w:tcPr>
            <w:tcW w:w="3116" w:type="dxa"/>
            <w:tcBorders>
              <w:right w:val="single" w:sz="4" w:space="0" w:color="auto"/>
            </w:tcBorders>
            <w:hideMark/>
          </w:tcPr>
          <w:p w14:paraId="41CED0FD" w14:textId="77777777" w:rsidR="00F360CC" w:rsidRPr="00C63D4B" w:rsidRDefault="00F360CC" w:rsidP="00184FD7">
            <w:pPr>
              <w:jc w:val="right"/>
              <w:rPr>
                <w:rFonts w:asciiTheme="majorBidi" w:hAnsiTheme="majorBidi" w:cstheme="majorBidi"/>
                <w:sz w:val="24"/>
                <w:szCs w:val="24"/>
              </w:rPr>
            </w:pPr>
            <w:r w:rsidRPr="00C63D4B">
              <w:rPr>
                <w:rFonts w:asciiTheme="majorBidi" w:hAnsiTheme="majorBidi" w:cstheme="majorBidi"/>
                <w:sz w:val="24"/>
                <w:szCs w:val="24"/>
              </w:rPr>
              <w:t>September 2022</w:t>
            </w:r>
          </w:p>
        </w:tc>
        <w:tc>
          <w:tcPr>
            <w:tcW w:w="3117" w:type="dxa"/>
            <w:tcBorders>
              <w:left w:val="single" w:sz="4" w:space="0" w:color="auto"/>
              <w:right w:val="single" w:sz="4" w:space="0" w:color="auto"/>
            </w:tcBorders>
          </w:tcPr>
          <w:p w14:paraId="36345001" w14:textId="77777777" w:rsidR="00F360CC" w:rsidRPr="00C63D4B" w:rsidRDefault="00F360CC" w:rsidP="00184FD7">
            <w:pPr>
              <w:jc w:val="center"/>
              <w:rPr>
                <w:rFonts w:asciiTheme="majorBidi" w:hAnsiTheme="majorBidi" w:cstheme="majorBidi"/>
                <w:sz w:val="24"/>
                <w:szCs w:val="24"/>
              </w:rPr>
            </w:pPr>
            <w:r w:rsidRPr="00C63D4B">
              <w:rPr>
                <w:rFonts w:asciiTheme="majorBidi" w:hAnsiTheme="majorBidi" w:cstheme="majorBidi"/>
                <w:sz w:val="24"/>
                <w:szCs w:val="24"/>
              </w:rPr>
              <w:t>20.115</w:t>
            </w:r>
          </w:p>
        </w:tc>
        <w:tc>
          <w:tcPr>
            <w:tcW w:w="3117" w:type="dxa"/>
            <w:tcBorders>
              <w:left w:val="single" w:sz="4" w:space="0" w:color="auto"/>
            </w:tcBorders>
          </w:tcPr>
          <w:p w14:paraId="0FEE04E4" w14:textId="77777777" w:rsidR="00F360CC" w:rsidRPr="00C63D4B" w:rsidRDefault="00F360CC" w:rsidP="00184FD7">
            <w:pPr>
              <w:rPr>
                <w:rFonts w:asciiTheme="majorBidi" w:hAnsiTheme="majorBidi" w:cstheme="majorBidi"/>
                <w:sz w:val="24"/>
                <w:szCs w:val="24"/>
              </w:rPr>
            </w:pPr>
            <w:r w:rsidRPr="00C63D4B">
              <w:rPr>
                <w:rFonts w:asciiTheme="majorBidi" w:hAnsiTheme="majorBidi" w:cstheme="majorBidi"/>
                <w:sz w:val="24"/>
                <w:szCs w:val="24"/>
              </w:rPr>
              <w:t>0.0243902</w:t>
            </w:r>
          </w:p>
        </w:tc>
      </w:tr>
      <w:tr w:rsidR="00F360CC" w:rsidRPr="00715078" w14:paraId="73ADAE45" w14:textId="77777777" w:rsidTr="00184FD7">
        <w:trPr>
          <w:trHeight w:val="20"/>
        </w:trPr>
        <w:tc>
          <w:tcPr>
            <w:tcW w:w="3116" w:type="dxa"/>
            <w:tcBorders>
              <w:bottom w:val="single" w:sz="4" w:space="0" w:color="auto"/>
              <w:right w:val="single" w:sz="4" w:space="0" w:color="auto"/>
            </w:tcBorders>
          </w:tcPr>
          <w:p w14:paraId="28F93437" w14:textId="77777777" w:rsidR="00F360CC" w:rsidRPr="00C63D4B" w:rsidRDefault="00F360CC" w:rsidP="00184FD7">
            <w:pPr>
              <w:jc w:val="right"/>
              <w:rPr>
                <w:rFonts w:asciiTheme="majorBidi" w:hAnsiTheme="majorBidi" w:cstheme="majorBidi"/>
                <w:sz w:val="24"/>
                <w:szCs w:val="24"/>
              </w:rPr>
            </w:pPr>
            <w:r w:rsidRPr="00C63D4B">
              <w:rPr>
                <w:rFonts w:asciiTheme="majorBidi" w:hAnsiTheme="majorBidi" w:cstheme="majorBidi"/>
                <w:sz w:val="24"/>
                <w:szCs w:val="24"/>
              </w:rPr>
              <w:t>October 2022</w:t>
            </w:r>
          </w:p>
        </w:tc>
        <w:tc>
          <w:tcPr>
            <w:tcW w:w="3117" w:type="dxa"/>
            <w:tcBorders>
              <w:left w:val="single" w:sz="4" w:space="0" w:color="auto"/>
              <w:bottom w:val="single" w:sz="4" w:space="0" w:color="auto"/>
              <w:right w:val="single" w:sz="4" w:space="0" w:color="auto"/>
            </w:tcBorders>
          </w:tcPr>
          <w:p w14:paraId="7B54DDFF" w14:textId="77777777" w:rsidR="00F360CC" w:rsidRPr="00C63D4B" w:rsidRDefault="00F360CC" w:rsidP="00184FD7">
            <w:pPr>
              <w:jc w:val="center"/>
              <w:rPr>
                <w:rFonts w:asciiTheme="majorBidi" w:hAnsiTheme="majorBidi" w:cstheme="majorBidi"/>
                <w:sz w:val="24"/>
                <w:szCs w:val="24"/>
              </w:rPr>
            </w:pPr>
            <w:r w:rsidRPr="00C63D4B">
              <w:rPr>
                <w:rFonts w:asciiTheme="majorBidi" w:hAnsiTheme="majorBidi" w:cstheme="majorBidi"/>
                <w:sz w:val="24"/>
                <w:szCs w:val="24"/>
              </w:rPr>
              <w:t>26.355</w:t>
            </w:r>
          </w:p>
        </w:tc>
        <w:tc>
          <w:tcPr>
            <w:tcW w:w="3117" w:type="dxa"/>
            <w:tcBorders>
              <w:left w:val="single" w:sz="4" w:space="0" w:color="auto"/>
              <w:bottom w:val="single" w:sz="4" w:space="0" w:color="auto"/>
            </w:tcBorders>
          </w:tcPr>
          <w:p w14:paraId="01D56C70" w14:textId="77777777" w:rsidR="00F360CC" w:rsidRPr="00C63D4B" w:rsidRDefault="00F360CC" w:rsidP="00184FD7">
            <w:pPr>
              <w:rPr>
                <w:rFonts w:asciiTheme="majorBidi" w:hAnsiTheme="majorBidi" w:cstheme="majorBidi"/>
                <w:sz w:val="24"/>
                <w:szCs w:val="24"/>
              </w:rPr>
            </w:pPr>
            <w:r w:rsidRPr="00C63D4B">
              <w:rPr>
                <w:rFonts w:asciiTheme="majorBidi" w:hAnsiTheme="majorBidi" w:cstheme="majorBidi"/>
                <w:sz w:val="24"/>
                <w:szCs w:val="24"/>
              </w:rPr>
              <w:t>0.0243902</w:t>
            </w:r>
          </w:p>
        </w:tc>
      </w:tr>
    </w:tbl>
    <w:p w14:paraId="51B63D90" w14:textId="4E69782B" w:rsidR="00C333C6" w:rsidRPr="00AD091F" w:rsidRDefault="00F360CC" w:rsidP="00AD091F">
      <w:pPr>
        <w:spacing w:line="240" w:lineRule="auto"/>
        <w:ind w:left="288" w:right="288"/>
        <w:rPr>
          <w:rFonts w:asciiTheme="majorBidi" w:hAnsiTheme="majorBidi" w:cstheme="majorBidi"/>
          <w:sz w:val="21"/>
          <w:szCs w:val="21"/>
        </w:rPr>
      </w:pPr>
      <w:r w:rsidRPr="00AD091F">
        <w:rPr>
          <w:rFonts w:asciiTheme="majorBidi" w:hAnsiTheme="majorBidi" w:cstheme="majorBidi"/>
          <w:sz w:val="21"/>
          <w:szCs w:val="21"/>
        </w:rPr>
        <w:t>Note that the p-values are calculated through running in-space placebo tests. While the impact for February 2021 is not statistically significantly, the second month is months April 2021 through October 2022 have a MSPE rank of 1. Given that our sample contains 49 states and DC for a total of 50 units, the probability of obtaining a post/pre-Measure 110 MSPE ratio as large as the ratio found for Oregon is 1/50 = 0.02.</w:t>
      </w:r>
      <w:r w:rsidR="00C333C6">
        <w:rPr>
          <w:rFonts w:asciiTheme="majorBidi" w:hAnsiTheme="majorBidi" w:cstheme="majorBidi"/>
          <w:b/>
          <w:bCs/>
          <w:sz w:val="24"/>
          <w:szCs w:val="24"/>
        </w:rPr>
        <w:br w:type="page"/>
      </w:r>
    </w:p>
    <w:p w14:paraId="39105C30" w14:textId="3F5241E1" w:rsidR="00C333C6" w:rsidRPr="00FE175E" w:rsidRDefault="00C333C6" w:rsidP="00C623D1">
      <w:pPr>
        <w:rPr>
          <w:rFonts w:asciiTheme="majorBidi" w:hAnsiTheme="majorBidi" w:cstheme="majorBidi"/>
          <w:b/>
          <w:bCs/>
          <w:sz w:val="28"/>
          <w:szCs w:val="28"/>
        </w:rPr>
      </w:pPr>
      <w:r w:rsidRPr="00FE175E">
        <w:rPr>
          <w:rFonts w:asciiTheme="majorBidi" w:hAnsiTheme="majorBidi" w:cstheme="majorBidi"/>
          <w:b/>
          <w:bCs/>
          <w:sz w:val="28"/>
          <w:szCs w:val="28"/>
        </w:rPr>
        <w:lastRenderedPageBreak/>
        <w:t>Figures</w:t>
      </w:r>
    </w:p>
    <w:p w14:paraId="4188A07F" w14:textId="002B56AC" w:rsidR="0039698C" w:rsidRDefault="00C333C6" w:rsidP="006201EC">
      <w:pPr>
        <w:spacing w:line="480" w:lineRule="auto"/>
        <w:rPr>
          <w:rFonts w:asciiTheme="majorBidi" w:hAnsiTheme="majorBidi" w:cstheme="majorBidi"/>
          <w:b/>
          <w:bCs/>
          <w:sz w:val="24"/>
          <w:szCs w:val="24"/>
        </w:rPr>
      </w:pPr>
      <w:r w:rsidRPr="00527EF8">
        <w:rPr>
          <w:rFonts w:asciiTheme="majorBidi" w:hAnsiTheme="majorBidi" w:cstheme="majorBidi"/>
          <w:b/>
          <w:bCs/>
          <w:noProof/>
          <w:sz w:val="24"/>
          <w:szCs w:val="24"/>
        </w:rPr>
        <w:drawing>
          <wp:inline distT="0" distB="0" distL="0" distR="0" wp14:anchorId="19A8AC6C" wp14:editId="6B515981">
            <wp:extent cx="5943600" cy="2377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7B5EFB94" w14:textId="6AB83EE9" w:rsidR="00C333C6" w:rsidRDefault="00C333C6" w:rsidP="00913A64">
      <w:pPr>
        <w:spacing w:line="240" w:lineRule="auto"/>
        <w:jc w:val="center"/>
        <w:rPr>
          <w:rFonts w:asciiTheme="majorBidi" w:hAnsiTheme="majorBidi" w:cstheme="majorBidi"/>
          <w:sz w:val="24"/>
          <w:szCs w:val="24"/>
        </w:rPr>
      </w:pPr>
      <w:r w:rsidRPr="00AD091F">
        <w:rPr>
          <w:rFonts w:asciiTheme="majorBidi" w:hAnsiTheme="majorBidi" w:cstheme="majorBidi"/>
          <w:sz w:val="21"/>
          <w:szCs w:val="21"/>
        </w:rPr>
        <w:t>A reminder that here, donor pool refers to all US States except WA and OR, plus DC.</w:t>
      </w:r>
    </w:p>
    <w:p w14:paraId="6E562CC5" w14:textId="39524EFB" w:rsidR="00C333C6" w:rsidRDefault="00C333C6" w:rsidP="00913A64">
      <w:pPr>
        <w:spacing w:line="240" w:lineRule="auto"/>
        <w:jc w:val="center"/>
        <w:rPr>
          <w:rFonts w:asciiTheme="majorBidi" w:hAnsiTheme="majorBidi" w:cstheme="majorBidi"/>
          <w:sz w:val="24"/>
          <w:szCs w:val="24"/>
        </w:rPr>
      </w:pPr>
    </w:p>
    <w:p w14:paraId="25ACC0F6" w14:textId="77777777" w:rsidR="00C333C6" w:rsidRDefault="00C333C6" w:rsidP="00913A64">
      <w:pPr>
        <w:spacing w:line="240" w:lineRule="auto"/>
        <w:jc w:val="center"/>
        <w:rPr>
          <w:rFonts w:asciiTheme="majorBidi" w:hAnsiTheme="majorBidi" w:cstheme="majorBidi"/>
          <w:sz w:val="24"/>
          <w:szCs w:val="24"/>
        </w:rPr>
      </w:pPr>
    </w:p>
    <w:p w14:paraId="1FAE269F" w14:textId="05E6479E" w:rsidR="00E9775A" w:rsidRPr="00913A64" w:rsidRDefault="00913A64" w:rsidP="00AD091F">
      <w:pPr>
        <w:spacing w:line="240" w:lineRule="auto"/>
        <w:ind w:left="288" w:right="288"/>
        <w:jc w:val="center"/>
        <w:rPr>
          <w:rFonts w:asciiTheme="majorBidi" w:hAnsiTheme="majorBidi" w:cstheme="majorBidi"/>
          <w:sz w:val="24"/>
          <w:szCs w:val="24"/>
        </w:rPr>
      </w:pPr>
      <w:r w:rsidRPr="00913A64">
        <w:rPr>
          <w:rFonts w:asciiTheme="majorBidi" w:hAnsiTheme="majorBidi" w:cstheme="majorBidi"/>
          <w:noProof/>
          <w:sz w:val="24"/>
          <w:szCs w:val="24"/>
        </w:rPr>
        <w:lastRenderedPageBreak/>
        <w:drawing>
          <wp:inline distT="0" distB="0" distL="0" distR="0" wp14:anchorId="6917B9A3" wp14:editId="66D976B2">
            <wp:extent cx="6000750" cy="43641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09987" cy="4370900"/>
                    </a:xfrm>
                    <a:prstGeom prst="rect">
                      <a:avLst/>
                    </a:prstGeom>
                    <a:noFill/>
                    <a:ln>
                      <a:noFill/>
                    </a:ln>
                  </pic:spPr>
                </pic:pic>
              </a:graphicData>
            </a:graphic>
          </wp:inline>
        </w:drawing>
      </w:r>
      <w:r w:rsidRPr="00AD091F">
        <w:rPr>
          <w:rFonts w:asciiTheme="majorBidi" w:hAnsiTheme="majorBidi" w:cstheme="majorBidi"/>
          <w:sz w:val="21"/>
          <w:szCs w:val="21"/>
        </w:rPr>
        <w:t>Note this is the main model w</w:t>
      </w:r>
      <w:r w:rsidR="00E9775A" w:rsidRPr="00AD091F">
        <w:rPr>
          <w:rFonts w:asciiTheme="majorBidi" w:hAnsiTheme="majorBidi" w:cstheme="majorBidi"/>
          <w:sz w:val="21"/>
          <w:szCs w:val="21"/>
        </w:rPr>
        <w:t>ith all</w:t>
      </w:r>
      <w:r w:rsidRPr="00AD091F">
        <w:rPr>
          <w:rFonts w:asciiTheme="majorBidi" w:hAnsiTheme="majorBidi" w:cstheme="majorBidi"/>
          <w:sz w:val="21"/>
          <w:szCs w:val="21"/>
        </w:rPr>
        <w:t xml:space="preserve"> included variables</w:t>
      </w:r>
      <w:r w:rsidR="0068792E" w:rsidRPr="00AD091F">
        <w:rPr>
          <w:rFonts w:asciiTheme="majorBidi" w:hAnsiTheme="majorBidi" w:cstheme="majorBidi"/>
          <w:sz w:val="21"/>
          <w:szCs w:val="21"/>
        </w:rPr>
        <w:t xml:space="preserve"> as predictors</w:t>
      </w:r>
      <w:r w:rsidRPr="00AD091F">
        <w:rPr>
          <w:rFonts w:asciiTheme="majorBidi" w:hAnsiTheme="majorBidi" w:cstheme="majorBidi"/>
          <w:sz w:val="21"/>
          <w:szCs w:val="21"/>
        </w:rPr>
        <w:t xml:space="preserve">, and these states having positive weights: </w:t>
      </w:r>
      <w:r w:rsidR="00E9775A" w:rsidRPr="00AD091F">
        <w:rPr>
          <w:rFonts w:asciiTheme="majorBidi" w:hAnsiTheme="majorBidi" w:cstheme="majorBidi"/>
          <w:sz w:val="21"/>
          <w:szCs w:val="21"/>
        </w:rPr>
        <w:t xml:space="preserve">Illinois, Maine Maryland, Nevada, New Hampshire, </w:t>
      </w:r>
      <w:r w:rsidR="006201EC" w:rsidRPr="00AD091F">
        <w:rPr>
          <w:rFonts w:asciiTheme="majorBidi" w:hAnsiTheme="majorBidi" w:cstheme="majorBidi"/>
          <w:sz w:val="21"/>
          <w:szCs w:val="21"/>
        </w:rPr>
        <w:t xml:space="preserve">New Mexico, </w:t>
      </w:r>
      <w:r w:rsidRPr="00AD091F">
        <w:rPr>
          <w:rFonts w:asciiTheme="majorBidi" w:hAnsiTheme="majorBidi" w:cstheme="majorBidi"/>
          <w:sz w:val="21"/>
          <w:szCs w:val="21"/>
        </w:rPr>
        <w:t xml:space="preserve">and </w:t>
      </w:r>
      <w:r w:rsidR="00E9775A" w:rsidRPr="00AD091F">
        <w:rPr>
          <w:rFonts w:asciiTheme="majorBidi" w:hAnsiTheme="majorBidi" w:cstheme="majorBidi"/>
          <w:sz w:val="21"/>
          <w:szCs w:val="21"/>
        </w:rPr>
        <w:t>Rhode Island</w:t>
      </w:r>
      <w:r w:rsidRPr="00AD091F">
        <w:rPr>
          <w:rFonts w:asciiTheme="majorBidi" w:hAnsiTheme="majorBidi" w:cstheme="majorBidi"/>
          <w:sz w:val="21"/>
          <w:szCs w:val="21"/>
        </w:rPr>
        <w:t>.</w:t>
      </w:r>
    </w:p>
    <w:p w14:paraId="16965100" w14:textId="77777777" w:rsidR="00E9775A" w:rsidRPr="00913A64" w:rsidRDefault="00E9775A" w:rsidP="00913A64">
      <w:pPr>
        <w:spacing w:line="240" w:lineRule="auto"/>
        <w:jc w:val="center"/>
        <w:rPr>
          <w:rFonts w:asciiTheme="majorBidi" w:hAnsiTheme="majorBidi" w:cstheme="majorBidi"/>
          <w:sz w:val="24"/>
          <w:szCs w:val="24"/>
        </w:rPr>
      </w:pPr>
    </w:p>
    <w:p w14:paraId="0E243EE0" w14:textId="77777777" w:rsidR="0068792E" w:rsidRPr="00715078" w:rsidRDefault="0068792E" w:rsidP="00C623D1">
      <w:pPr>
        <w:spacing w:line="480" w:lineRule="auto"/>
        <w:jc w:val="center"/>
        <w:rPr>
          <w:rFonts w:asciiTheme="majorBidi" w:hAnsiTheme="majorBidi" w:cstheme="majorBidi"/>
          <w:b/>
          <w:bCs/>
          <w:sz w:val="24"/>
          <w:szCs w:val="24"/>
        </w:rPr>
      </w:pPr>
    </w:p>
    <w:p w14:paraId="15AE49AD" w14:textId="24FD7C1E" w:rsidR="00C623D1" w:rsidRPr="00715078" w:rsidRDefault="00880ADE" w:rsidP="00C623D1">
      <w:pPr>
        <w:spacing w:line="480" w:lineRule="auto"/>
        <w:rPr>
          <w:rFonts w:asciiTheme="majorBidi" w:hAnsiTheme="majorBidi" w:cstheme="majorBidi"/>
          <w:b/>
          <w:bCs/>
          <w:sz w:val="24"/>
          <w:szCs w:val="24"/>
        </w:rPr>
      </w:pPr>
      <w:r w:rsidRPr="00880ADE">
        <w:rPr>
          <w:rFonts w:asciiTheme="majorBidi" w:hAnsiTheme="majorBidi" w:cstheme="majorBidi"/>
          <w:noProof/>
          <w:sz w:val="24"/>
          <w:szCs w:val="24"/>
        </w:rPr>
        <w:lastRenderedPageBreak/>
        <w:drawing>
          <wp:inline distT="0" distB="0" distL="0" distR="0" wp14:anchorId="7F4658BD" wp14:editId="66D51437">
            <wp:extent cx="5996763" cy="5996763"/>
            <wp:effectExtent l="0" t="0" r="444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00460" cy="6000460"/>
                    </a:xfrm>
                    <a:prstGeom prst="rect">
                      <a:avLst/>
                    </a:prstGeom>
                    <a:noFill/>
                    <a:ln>
                      <a:noFill/>
                    </a:ln>
                  </pic:spPr>
                </pic:pic>
              </a:graphicData>
            </a:graphic>
          </wp:inline>
        </w:drawing>
      </w:r>
    </w:p>
    <w:p w14:paraId="5A4D3881" w14:textId="77777777" w:rsidR="00C623D1" w:rsidRPr="00715078" w:rsidRDefault="00C623D1" w:rsidP="00C623D1">
      <w:pPr>
        <w:rPr>
          <w:rFonts w:asciiTheme="majorBidi" w:hAnsiTheme="majorBidi" w:cstheme="majorBidi"/>
          <w:b/>
          <w:bCs/>
          <w:sz w:val="24"/>
          <w:szCs w:val="24"/>
        </w:rPr>
      </w:pPr>
      <w:r w:rsidRPr="00715078">
        <w:rPr>
          <w:rFonts w:asciiTheme="majorBidi" w:hAnsiTheme="majorBidi" w:cstheme="majorBidi"/>
          <w:b/>
          <w:bCs/>
          <w:sz w:val="24"/>
          <w:szCs w:val="24"/>
        </w:rPr>
        <w:br w:type="page"/>
      </w:r>
    </w:p>
    <w:p w14:paraId="1069AD6F" w14:textId="3E617991" w:rsidR="00C64E58" w:rsidRDefault="00C64E58" w:rsidP="00C64E58">
      <w:pPr>
        <w:spacing w:line="240" w:lineRule="auto"/>
        <w:jc w:val="center"/>
        <w:rPr>
          <w:rFonts w:asciiTheme="majorBidi" w:hAnsiTheme="majorBidi" w:cstheme="majorBidi"/>
        </w:rPr>
      </w:pPr>
      <w:r w:rsidRPr="00C64E58">
        <w:rPr>
          <w:rFonts w:asciiTheme="majorBidi" w:hAnsiTheme="majorBidi" w:cstheme="majorBidi"/>
          <w:noProof/>
        </w:rPr>
        <w:lastRenderedPageBreak/>
        <w:drawing>
          <wp:inline distT="0" distB="0" distL="0" distR="0" wp14:anchorId="04AAEBC7" wp14:editId="671F7F3F">
            <wp:extent cx="5905500" cy="429490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12025" cy="4299654"/>
                    </a:xfrm>
                    <a:prstGeom prst="rect">
                      <a:avLst/>
                    </a:prstGeom>
                    <a:noFill/>
                    <a:ln>
                      <a:noFill/>
                    </a:ln>
                  </pic:spPr>
                </pic:pic>
              </a:graphicData>
            </a:graphic>
          </wp:inline>
        </w:drawing>
      </w:r>
    </w:p>
    <w:p w14:paraId="3C8175CF" w14:textId="3D97A800" w:rsidR="00C64E58" w:rsidRDefault="00C64E58" w:rsidP="00AD091F">
      <w:pPr>
        <w:spacing w:line="240" w:lineRule="auto"/>
        <w:ind w:left="288" w:right="288"/>
        <w:jc w:val="center"/>
        <w:rPr>
          <w:rFonts w:asciiTheme="majorBidi" w:hAnsiTheme="majorBidi" w:cstheme="majorBidi"/>
        </w:rPr>
      </w:pPr>
      <w:r w:rsidRPr="00AD091F">
        <w:rPr>
          <w:rFonts w:asciiTheme="majorBidi" w:hAnsiTheme="majorBidi" w:cstheme="majorBidi"/>
          <w:sz w:val="21"/>
          <w:szCs w:val="21"/>
        </w:rPr>
        <w:t>Governor Kate Brown initiated a stay-at-home order in Oregon on 23 March 2020.</w:t>
      </w:r>
      <w:r w:rsidR="00AD091F">
        <w:rPr>
          <w:rFonts w:asciiTheme="majorBidi" w:hAnsiTheme="majorBidi" w:cstheme="majorBidi"/>
          <w:sz w:val="21"/>
          <w:szCs w:val="21"/>
        </w:rPr>
        <w:t xml:space="preserve"> Similar measures in San Francisco </w:t>
      </w:r>
      <w:r w:rsidR="0062751F">
        <w:rPr>
          <w:rFonts w:asciiTheme="majorBidi" w:hAnsiTheme="majorBidi" w:cstheme="majorBidi"/>
          <w:sz w:val="21"/>
          <w:szCs w:val="21"/>
        </w:rPr>
        <w:t>may</w:t>
      </w:r>
      <w:r w:rsidR="00AD091F">
        <w:rPr>
          <w:rFonts w:asciiTheme="majorBidi" w:hAnsiTheme="majorBidi" w:cstheme="majorBidi"/>
          <w:sz w:val="21"/>
          <w:szCs w:val="21"/>
        </w:rPr>
        <w:t xml:space="preserve"> have</w:t>
      </w:r>
      <w:r w:rsidR="00927B18">
        <w:rPr>
          <w:rFonts w:asciiTheme="majorBidi" w:hAnsiTheme="majorBidi" w:cstheme="majorBidi"/>
          <w:sz w:val="21"/>
          <w:szCs w:val="21"/>
        </w:rPr>
        <w:t xml:space="preserve"> been associated with an</w:t>
      </w:r>
      <w:r w:rsidR="00AD091F">
        <w:rPr>
          <w:rFonts w:asciiTheme="majorBidi" w:hAnsiTheme="majorBidi" w:cstheme="majorBidi"/>
          <w:sz w:val="21"/>
          <w:szCs w:val="21"/>
        </w:rPr>
        <w:t xml:space="preserve"> </w:t>
      </w:r>
      <w:r w:rsidR="00927B18">
        <w:rPr>
          <w:rFonts w:asciiTheme="majorBidi" w:hAnsiTheme="majorBidi" w:cstheme="majorBidi"/>
          <w:sz w:val="21"/>
          <w:szCs w:val="21"/>
        </w:rPr>
        <w:t>increase in</w:t>
      </w:r>
      <w:r w:rsidR="00AD091F">
        <w:rPr>
          <w:rFonts w:asciiTheme="majorBidi" w:hAnsiTheme="majorBidi" w:cstheme="majorBidi"/>
          <w:sz w:val="21"/>
          <w:szCs w:val="21"/>
        </w:rPr>
        <w:t xml:space="preserve"> overdose deaths </w:t>
      </w:r>
      <w:r w:rsidR="00AD091F" w:rsidRPr="00AD091F">
        <w:rPr>
          <w:rFonts w:asciiTheme="majorBidi" w:hAnsiTheme="majorBidi" w:cstheme="majorBidi"/>
          <w:sz w:val="21"/>
          <w:szCs w:val="21"/>
        </w:rPr>
        <w:t>(Appa et al., 2021)</w:t>
      </w:r>
      <w:r w:rsidR="00AD091F">
        <w:rPr>
          <w:rFonts w:asciiTheme="majorBidi" w:hAnsiTheme="majorBidi" w:cstheme="majorBidi"/>
          <w:sz w:val="21"/>
          <w:szCs w:val="21"/>
        </w:rPr>
        <w:t>.</w:t>
      </w:r>
    </w:p>
    <w:p w14:paraId="4D05FEE8" w14:textId="77777777" w:rsidR="00C64E58" w:rsidRDefault="00C64E58" w:rsidP="00965E9D">
      <w:pPr>
        <w:spacing w:line="240" w:lineRule="auto"/>
        <w:rPr>
          <w:rFonts w:asciiTheme="majorBidi" w:hAnsiTheme="majorBidi" w:cstheme="majorBidi"/>
        </w:rPr>
      </w:pPr>
    </w:p>
    <w:p w14:paraId="62C76A0E" w14:textId="05C20B28" w:rsidR="00982E06" w:rsidRDefault="00DF69A5" w:rsidP="00DF69A5">
      <w:pPr>
        <w:spacing w:line="240" w:lineRule="auto"/>
        <w:jc w:val="center"/>
        <w:rPr>
          <w:rFonts w:asciiTheme="majorBidi" w:hAnsiTheme="majorBidi" w:cstheme="majorBidi"/>
        </w:rPr>
      </w:pPr>
      <w:r w:rsidRPr="00DF69A5">
        <w:rPr>
          <w:rFonts w:asciiTheme="majorBidi" w:hAnsiTheme="majorBidi" w:cstheme="majorBidi"/>
          <w:noProof/>
        </w:rPr>
        <w:lastRenderedPageBreak/>
        <w:drawing>
          <wp:inline distT="0" distB="0" distL="0" distR="0" wp14:anchorId="4AFF1ACF" wp14:editId="04D1F574">
            <wp:extent cx="5934075" cy="4315691"/>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222" cy="4322343"/>
                    </a:xfrm>
                    <a:prstGeom prst="rect">
                      <a:avLst/>
                    </a:prstGeom>
                    <a:noFill/>
                    <a:ln>
                      <a:noFill/>
                    </a:ln>
                  </pic:spPr>
                </pic:pic>
              </a:graphicData>
            </a:graphic>
          </wp:inline>
        </w:drawing>
      </w:r>
    </w:p>
    <w:p w14:paraId="0032B0DD" w14:textId="5D148B79" w:rsidR="00DF69A5" w:rsidRPr="00AD091F" w:rsidRDefault="00DF69A5" w:rsidP="00AD091F">
      <w:pPr>
        <w:spacing w:line="240" w:lineRule="auto"/>
        <w:ind w:left="288" w:right="288"/>
        <w:jc w:val="center"/>
        <w:rPr>
          <w:rFonts w:asciiTheme="majorBidi" w:hAnsiTheme="majorBidi" w:cstheme="majorBidi"/>
          <w:sz w:val="21"/>
          <w:szCs w:val="21"/>
        </w:rPr>
      </w:pPr>
      <w:r w:rsidRPr="00AD091F">
        <w:rPr>
          <w:rFonts w:asciiTheme="majorBidi" w:hAnsiTheme="majorBidi" w:cstheme="majorBidi"/>
          <w:sz w:val="21"/>
          <w:szCs w:val="21"/>
        </w:rPr>
        <w:t xml:space="preserve">Measure 110 was </w:t>
      </w:r>
      <w:r w:rsidR="004734AE" w:rsidRPr="00AD091F">
        <w:rPr>
          <w:rFonts w:asciiTheme="majorBidi" w:hAnsiTheme="majorBidi" w:cstheme="majorBidi"/>
          <w:sz w:val="21"/>
          <w:szCs w:val="21"/>
        </w:rPr>
        <w:t xml:space="preserve">passed on 3 November 2020 during the general election. This could lead to anticipatory impacts which have been investigated through backdating the treatment period to November 2020, doing so reveals some evidence of an anticipatory impact as January 2021 had many more Overdose deaths in Oregon than synthetic Oregon. </w:t>
      </w:r>
    </w:p>
    <w:sectPr w:rsidR="00DF69A5" w:rsidRPr="00AD091F" w:rsidSect="00CF5CDE">
      <w:headerReference w:type="default" r:id="rId11"/>
      <w:foot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E03A2" w14:textId="77777777" w:rsidR="00330AD4" w:rsidRDefault="00330AD4">
      <w:pPr>
        <w:spacing w:after="0" w:line="240" w:lineRule="auto"/>
      </w:pPr>
      <w:r>
        <w:separator/>
      </w:r>
    </w:p>
  </w:endnote>
  <w:endnote w:type="continuationSeparator" w:id="0">
    <w:p w14:paraId="52BFA3BA" w14:textId="77777777" w:rsidR="00330AD4" w:rsidRDefault="00330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A6430" w14:textId="6BCC81A3" w:rsidR="00C333C6" w:rsidRPr="00C333C6" w:rsidRDefault="00C333C6">
    <w:pPr>
      <w:pStyle w:val="Footer"/>
      <w:rPr>
        <w:rFonts w:asciiTheme="majorBidi" w:hAnsiTheme="majorBidi" w:cstheme="majorBidi"/>
        <w:sz w:val="24"/>
        <w:szCs w:val="24"/>
      </w:rPr>
    </w:pPr>
    <w:r>
      <w:rPr>
        <w:rFonts w:asciiTheme="majorBidi" w:hAnsiTheme="majorBidi" w:cstheme="majorBidi"/>
        <w:sz w:val="24"/>
        <w:szCs w:val="24"/>
      </w:rPr>
      <w:t>Portland State University, Department of Economics, Portland, OR, USA. Emails: bvogt@pdx.edu and vogtbrannigan@gmail.com.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9848A" w14:textId="77777777" w:rsidR="00330AD4" w:rsidRDefault="00330AD4">
      <w:pPr>
        <w:spacing w:after="0" w:line="240" w:lineRule="auto"/>
      </w:pPr>
      <w:r>
        <w:separator/>
      </w:r>
    </w:p>
  </w:footnote>
  <w:footnote w:type="continuationSeparator" w:id="0">
    <w:p w14:paraId="00E3C180" w14:textId="77777777" w:rsidR="00330AD4" w:rsidRDefault="00330A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0FAC8" w14:textId="77777777" w:rsidR="00BB6557" w:rsidRPr="001071F9" w:rsidRDefault="00BB6557">
    <w:pPr>
      <w:pStyle w:val="Header"/>
      <w:rPr>
        <w:rFonts w:asciiTheme="majorBidi" w:hAnsiTheme="majorBidi" w:cstheme="majorBidi"/>
        <w:sz w:val="24"/>
        <w:szCs w:val="24"/>
      </w:rPr>
    </w:pPr>
    <w:r>
      <w:rPr>
        <w:rFonts w:asciiTheme="majorBidi" w:hAnsiTheme="majorBidi" w:cstheme="majorBidi"/>
        <w:sz w:val="24"/>
        <w:szCs w:val="24"/>
      </w:rPr>
      <w:t>Vogt</w:t>
    </w:r>
    <w:r w:rsidRPr="001071F9">
      <w:rPr>
        <w:rFonts w:asciiTheme="majorBidi" w:hAnsiTheme="majorBidi" w:cstheme="majorBidi"/>
        <w:sz w:val="24"/>
        <w:szCs w:val="24"/>
      </w:rPr>
      <w:ptab w:relativeTo="margin" w:alignment="center" w:leader="none"/>
    </w:r>
    <w:r w:rsidRPr="001071F9">
      <w:rPr>
        <w:rFonts w:asciiTheme="majorBidi" w:hAnsiTheme="majorBidi" w:cstheme="majorBidi"/>
        <w:sz w:val="24"/>
        <w:szCs w:val="24"/>
      </w:rPr>
      <w:ptab w:relativeTo="margin" w:alignment="right" w:leader="none"/>
    </w:r>
    <w:r w:rsidRPr="001071F9">
      <w:rPr>
        <w:rFonts w:asciiTheme="majorBidi" w:hAnsiTheme="majorBidi" w:cstheme="majorBidi"/>
        <w:sz w:val="24"/>
        <w:szCs w:val="24"/>
      </w:rPr>
      <w:fldChar w:fldCharType="begin"/>
    </w:r>
    <w:r w:rsidRPr="001071F9">
      <w:rPr>
        <w:rFonts w:asciiTheme="majorBidi" w:hAnsiTheme="majorBidi" w:cstheme="majorBidi"/>
        <w:sz w:val="24"/>
        <w:szCs w:val="24"/>
      </w:rPr>
      <w:instrText xml:space="preserve"> PAGE   \* MERGEFORMAT </w:instrText>
    </w:r>
    <w:r w:rsidRPr="001071F9">
      <w:rPr>
        <w:rFonts w:asciiTheme="majorBidi" w:hAnsiTheme="majorBidi" w:cstheme="majorBidi"/>
        <w:sz w:val="24"/>
        <w:szCs w:val="24"/>
      </w:rPr>
      <w:fldChar w:fldCharType="separate"/>
    </w:r>
    <w:r w:rsidRPr="001071F9">
      <w:rPr>
        <w:rFonts w:asciiTheme="majorBidi" w:hAnsiTheme="majorBidi" w:cstheme="majorBidi"/>
        <w:noProof/>
        <w:sz w:val="24"/>
        <w:szCs w:val="24"/>
      </w:rPr>
      <w:t>1</w:t>
    </w:r>
    <w:r w:rsidRPr="001071F9">
      <w:rPr>
        <w:rFonts w:asciiTheme="majorBidi" w:hAnsiTheme="majorBidi" w:cstheme="majorBidi"/>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3D1"/>
    <w:rsid w:val="000048E1"/>
    <w:rsid w:val="000237FD"/>
    <w:rsid w:val="000258D5"/>
    <w:rsid w:val="00051108"/>
    <w:rsid w:val="0006353B"/>
    <w:rsid w:val="00083320"/>
    <w:rsid w:val="000939AE"/>
    <w:rsid w:val="000A3593"/>
    <w:rsid w:val="00102ED7"/>
    <w:rsid w:val="00111EA8"/>
    <w:rsid w:val="001133C7"/>
    <w:rsid w:val="00144AE3"/>
    <w:rsid w:val="001670CD"/>
    <w:rsid w:val="0017471A"/>
    <w:rsid w:val="00181512"/>
    <w:rsid w:val="00186ECB"/>
    <w:rsid w:val="001963DA"/>
    <w:rsid w:val="001B46C1"/>
    <w:rsid w:val="001B6FC6"/>
    <w:rsid w:val="001E031E"/>
    <w:rsid w:val="002318C2"/>
    <w:rsid w:val="00264BA5"/>
    <w:rsid w:val="0028167B"/>
    <w:rsid w:val="00294F70"/>
    <w:rsid w:val="002D5873"/>
    <w:rsid w:val="002E3111"/>
    <w:rsid w:val="003007FB"/>
    <w:rsid w:val="00305D3C"/>
    <w:rsid w:val="003169BA"/>
    <w:rsid w:val="00330AD4"/>
    <w:rsid w:val="00333C95"/>
    <w:rsid w:val="00333D27"/>
    <w:rsid w:val="00334FF3"/>
    <w:rsid w:val="00383DCA"/>
    <w:rsid w:val="0039698C"/>
    <w:rsid w:val="003B386C"/>
    <w:rsid w:val="003C3745"/>
    <w:rsid w:val="003D161C"/>
    <w:rsid w:val="003E14A0"/>
    <w:rsid w:val="003E404C"/>
    <w:rsid w:val="0041436F"/>
    <w:rsid w:val="00417829"/>
    <w:rsid w:val="00443B92"/>
    <w:rsid w:val="004444E0"/>
    <w:rsid w:val="00460465"/>
    <w:rsid w:val="004734AE"/>
    <w:rsid w:val="004770DB"/>
    <w:rsid w:val="004C021C"/>
    <w:rsid w:val="004C17F0"/>
    <w:rsid w:val="004C57FF"/>
    <w:rsid w:val="004C5895"/>
    <w:rsid w:val="004F4B9A"/>
    <w:rsid w:val="004F71A6"/>
    <w:rsid w:val="004F7653"/>
    <w:rsid w:val="005067C6"/>
    <w:rsid w:val="00525F35"/>
    <w:rsid w:val="00526E24"/>
    <w:rsid w:val="00527EF8"/>
    <w:rsid w:val="00544DAC"/>
    <w:rsid w:val="005565F5"/>
    <w:rsid w:val="00557B57"/>
    <w:rsid w:val="005766FB"/>
    <w:rsid w:val="00586CDD"/>
    <w:rsid w:val="005965FE"/>
    <w:rsid w:val="005A033F"/>
    <w:rsid w:val="005A1181"/>
    <w:rsid w:val="005B4549"/>
    <w:rsid w:val="005E69EF"/>
    <w:rsid w:val="00602243"/>
    <w:rsid w:val="00610603"/>
    <w:rsid w:val="006201EC"/>
    <w:rsid w:val="0062751F"/>
    <w:rsid w:val="006277D0"/>
    <w:rsid w:val="00632A8C"/>
    <w:rsid w:val="00643362"/>
    <w:rsid w:val="006559FC"/>
    <w:rsid w:val="006574B9"/>
    <w:rsid w:val="00684A52"/>
    <w:rsid w:val="0068792E"/>
    <w:rsid w:val="00692B1B"/>
    <w:rsid w:val="006B14DF"/>
    <w:rsid w:val="006D0FC3"/>
    <w:rsid w:val="006F4295"/>
    <w:rsid w:val="00715078"/>
    <w:rsid w:val="00742280"/>
    <w:rsid w:val="00750D09"/>
    <w:rsid w:val="00770578"/>
    <w:rsid w:val="007951BB"/>
    <w:rsid w:val="007B777D"/>
    <w:rsid w:val="007C6C8A"/>
    <w:rsid w:val="007C748E"/>
    <w:rsid w:val="008142B8"/>
    <w:rsid w:val="0082569E"/>
    <w:rsid w:val="0083640F"/>
    <w:rsid w:val="00840641"/>
    <w:rsid w:val="008570FD"/>
    <w:rsid w:val="00880ADE"/>
    <w:rsid w:val="00884243"/>
    <w:rsid w:val="00885652"/>
    <w:rsid w:val="008D4AA9"/>
    <w:rsid w:val="008E2D58"/>
    <w:rsid w:val="008F3159"/>
    <w:rsid w:val="00907F34"/>
    <w:rsid w:val="00912CF2"/>
    <w:rsid w:val="00913A64"/>
    <w:rsid w:val="00927B18"/>
    <w:rsid w:val="00941C2E"/>
    <w:rsid w:val="00964F82"/>
    <w:rsid w:val="00965E9D"/>
    <w:rsid w:val="009717E6"/>
    <w:rsid w:val="0098257A"/>
    <w:rsid w:val="00982E06"/>
    <w:rsid w:val="009A0251"/>
    <w:rsid w:val="009A6179"/>
    <w:rsid w:val="009B2DC8"/>
    <w:rsid w:val="009B3833"/>
    <w:rsid w:val="009C4D8A"/>
    <w:rsid w:val="009E16BA"/>
    <w:rsid w:val="00A0757D"/>
    <w:rsid w:val="00A277E7"/>
    <w:rsid w:val="00A344C2"/>
    <w:rsid w:val="00A36B23"/>
    <w:rsid w:val="00A44D7C"/>
    <w:rsid w:val="00A84A10"/>
    <w:rsid w:val="00A8621F"/>
    <w:rsid w:val="00A87759"/>
    <w:rsid w:val="00AB61F2"/>
    <w:rsid w:val="00AD091F"/>
    <w:rsid w:val="00B03DB8"/>
    <w:rsid w:val="00B153D9"/>
    <w:rsid w:val="00B667B7"/>
    <w:rsid w:val="00B82F2B"/>
    <w:rsid w:val="00B93BD4"/>
    <w:rsid w:val="00BA4CF5"/>
    <w:rsid w:val="00BB456D"/>
    <w:rsid w:val="00BB6557"/>
    <w:rsid w:val="00BC5702"/>
    <w:rsid w:val="00BD0344"/>
    <w:rsid w:val="00BD4F6C"/>
    <w:rsid w:val="00BD76CF"/>
    <w:rsid w:val="00BE5954"/>
    <w:rsid w:val="00BF6F64"/>
    <w:rsid w:val="00C06E76"/>
    <w:rsid w:val="00C135C4"/>
    <w:rsid w:val="00C16ED3"/>
    <w:rsid w:val="00C333C6"/>
    <w:rsid w:val="00C601B3"/>
    <w:rsid w:val="00C623D1"/>
    <w:rsid w:val="00C63D4B"/>
    <w:rsid w:val="00C64E58"/>
    <w:rsid w:val="00C83065"/>
    <w:rsid w:val="00CA3EB0"/>
    <w:rsid w:val="00CC423E"/>
    <w:rsid w:val="00CE6D48"/>
    <w:rsid w:val="00CF5CDE"/>
    <w:rsid w:val="00CF5D67"/>
    <w:rsid w:val="00D03D27"/>
    <w:rsid w:val="00D3722A"/>
    <w:rsid w:val="00D514CF"/>
    <w:rsid w:val="00D6214D"/>
    <w:rsid w:val="00D912DB"/>
    <w:rsid w:val="00D94B9B"/>
    <w:rsid w:val="00DA4389"/>
    <w:rsid w:val="00DC17B1"/>
    <w:rsid w:val="00DD2E54"/>
    <w:rsid w:val="00DF69A5"/>
    <w:rsid w:val="00E00C36"/>
    <w:rsid w:val="00E146BD"/>
    <w:rsid w:val="00E1630C"/>
    <w:rsid w:val="00E21454"/>
    <w:rsid w:val="00E524F1"/>
    <w:rsid w:val="00E53145"/>
    <w:rsid w:val="00E8453E"/>
    <w:rsid w:val="00E9775A"/>
    <w:rsid w:val="00EA5086"/>
    <w:rsid w:val="00EB2214"/>
    <w:rsid w:val="00EC4270"/>
    <w:rsid w:val="00EC6FD7"/>
    <w:rsid w:val="00F05C8D"/>
    <w:rsid w:val="00F24A8B"/>
    <w:rsid w:val="00F2591A"/>
    <w:rsid w:val="00F31F2B"/>
    <w:rsid w:val="00F360CC"/>
    <w:rsid w:val="00F5237B"/>
    <w:rsid w:val="00F57A03"/>
    <w:rsid w:val="00F65A92"/>
    <w:rsid w:val="00F7371C"/>
    <w:rsid w:val="00F81B46"/>
    <w:rsid w:val="00FC6BC0"/>
    <w:rsid w:val="00FE175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4D167"/>
  <w15:chartTrackingRefBased/>
  <w15:docId w15:val="{5C0CC19B-FB6D-4A06-A95E-23C6AD465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3D1"/>
    <w:rPr>
      <w:rFonts w:eastAsiaTheme="minorEastAsia"/>
      <w:kern w:val="0"/>
      <w:lang w:eastAsia="zh-TW"/>
      <w14:ligatures w14:val="none"/>
    </w:rPr>
  </w:style>
  <w:style w:type="paragraph" w:styleId="Heading1">
    <w:name w:val="heading 1"/>
    <w:basedOn w:val="Normal"/>
    <w:next w:val="Normal"/>
    <w:link w:val="Heading1Char"/>
    <w:uiPriority w:val="9"/>
    <w:qFormat/>
    <w:rsid w:val="003E40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3D1"/>
    <w:rPr>
      <w:rFonts w:eastAsiaTheme="minorEastAsia"/>
      <w:kern w:val="0"/>
      <w:lang w:eastAsia="zh-TW"/>
      <w14:ligatures w14:val="none"/>
    </w:rPr>
  </w:style>
  <w:style w:type="table" w:styleId="TableGrid">
    <w:name w:val="Table Grid"/>
    <w:basedOn w:val="TableNormal"/>
    <w:uiPriority w:val="39"/>
    <w:rsid w:val="00C623D1"/>
    <w:pPr>
      <w:spacing w:after="0" w:line="240" w:lineRule="auto"/>
    </w:pPr>
    <w:rPr>
      <w:rFonts w:eastAsiaTheme="minorEastAsia"/>
      <w:kern w:val="0"/>
      <w:lang w:eastAsia="zh-TW"/>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D2E54"/>
    <w:rPr>
      <w:color w:val="808080"/>
    </w:rPr>
  </w:style>
  <w:style w:type="character" w:customStyle="1" w:styleId="Heading1Char">
    <w:name w:val="Heading 1 Char"/>
    <w:basedOn w:val="DefaultParagraphFont"/>
    <w:link w:val="Heading1"/>
    <w:uiPriority w:val="9"/>
    <w:rsid w:val="003E404C"/>
    <w:rPr>
      <w:rFonts w:asciiTheme="majorHAnsi" w:eastAsiaTheme="majorEastAsia" w:hAnsiTheme="majorHAnsi" w:cstheme="majorBidi"/>
      <w:color w:val="2F5496" w:themeColor="accent1" w:themeShade="BF"/>
      <w:kern w:val="0"/>
      <w:sz w:val="32"/>
      <w:szCs w:val="32"/>
      <w:lang w:eastAsia="zh-TW"/>
      <w14:ligatures w14:val="none"/>
    </w:rPr>
  </w:style>
  <w:style w:type="character" w:styleId="Hyperlink">
    <w:name w:val="Hyperlink"/>
    <w:basedOn w:val="DefaultParagraphFont"/>
    <w:uiPriority w:val="99"/>
    <w:unhideWhenUsed/>
    <w:rsid w:val="003007FB"/>
    <w:rPr>
      <w:color w:val="0563C1" w:themeColor="hyperlink"/>
      <w:u w:val="single"/>
    </w:rPr>
  </w:style>
  <w:style w:type="character" w:styleId="UnresolvedMention">
    <w:name w:val="Unresolved Mention"/>
    <w:basedOn w:val="DefaultParagraphFont"/>
    <w:uiPriority w:val="99"/>
    <w:semiHidden/>
    <w:unhideWhenUsed/>
    <w:rsid w:val="003007FB"/>
    <w:rPr>
      <w:color w:val="605E5C"/>
      <w:shd w:val="clear" w:color="auto" w:fill="E1DFDD"/>
    </w:rPr>
  </w:style>
  <w:style w:type="character" w:styleId="FollowedHyperlink">
    <w:name w:val="FollowedHyperlink"/>
    <w:basedOn w:val="DefaultParagraphFont"/>
    <w:uiPriority w:val="99"/>
    <w:semiHidden/>
    <w:unhideWhenUsed/>
    <w:rsid w:val="006559FC"/>
    <w:rPr>
      <w:color w:val="954F72" w:themeColor="followedHyperlink"/>
      <w:u w:val="single"/>
    </w:rPr>
  </w:style>
  <w:style w:type="paragraph" w:styleId="Footer">
    <w:name w:val="footer"/>
    <w:basedOn w:val="Normal"/>
    <w:link w:val="FooterChar"/>
    <w:uiPriority w:val="99"/>
    <w:unhideWhenUsed/>
    <w:rsid w:val="00C333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3C6"/>
    <w:rPr>
      <w:rFonts w:eastAsiaTheme="minorEastAsia"/>
      <w:kern w:val="0"/>
      <w:lang w:eastAsia="zh-TW"/>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92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28</Pages>
  <Words>6935</Words>
  <Characters>39534</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Brannigan Vogt</dc:creator>
  <cp:keywords/>
  <dc:description/>
  <cp:lastModifiedBy>Brannigan Vogt</cp:lastModifiedBy>
  <cp:revision>22</cp:revision>
  <dcterms:created xsi:type="dcterms:W3CDTF">2023-06-15T01:01:00Z</dcterms:created>
  <dcterms:modified xsi:type="dcterms:W3CDTF">2023-06-15T03:41:00Z</dcterms:modified>
</cp:coreProperties>
</file>