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研究工作流与故事模板规范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工作流类型</w:t>
      </w:r>
    </w:p>
    <w:p>
      <w:pPr>
        <w:spacing w:after="120" w:line="276" w:lineRule="auto"/>
      </w:pPr>
      <w:r>
        <w:t>建议五类基础工作流：领域底座研究、实体中心研究、问题导向研究、变化追踪研究、自升级研究。</w:t>
      </w:r>
    </w:p>
    <w:p>
      <w:pPr>
        <w:pStyle w:val="Heading1"/>
      </w:pPr>
      <w:r>
        <w:t>2. 统一七步流程</w:t>
      </w:r>
    </w:p>
    <w:p>
      <w:pPr>
        <w:spacing w:after="120" w:line="276" w:lineRule="auto"/>
      </w:pPr>
      <w:r>
        <w:t>触发 → 界定范围 → 收集证据 → 结构化与比较 → 选择思考模型 → 产出结论与不确定性 → 评审与后续动作。</w:t>
      </w:r>
    </w:p>
    <w:p>
      <w:pPr>
        <w:pStyle w:val="Heading1"/>
      </w:pPr>
      <w:r>
        <w:t>3. 故事模板</w:t>
      </w:r>
    </w:p>
    <w:p>
      <w:pPr>
        <w:spacing w:after="120" w:line="276" w:lineRule="auto"/>
      </w:pPr>
      <w:r>
        <w:t>故事模板应可跨领域复用，但要允许按领域和范式做参数化。</w:t>
      </w:r>
    </w:p>
    <w:p>
      <w:pPr>
        <w:pStyle w:val="Heading1"/>
      </w:pPr>
      <w:r>
        <w:t>4. 集成要求</w:t>
      </w:r>
    </w:p>
    <w:p>
      <w:pPr>
        <w:spacing w:after="120" w:line="276" w:lineRule="auto"/>
      </w:pPr>
      <w:r>
        <w:t>每个工作流都必须绑定对象契约、模型治理和 harness 评估。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