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实施路线图与阶段计划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路线原则</w:t>
      </w:r>
    </w:p>
    <w:p>
      <w:pPr>
        <w:spacing w:after="120" w:line="276" w:lineRule="auto"/>
      </w:pPr>
      <w:r>
        <w:t>明确采用 A→D 的演化路径。A/B 是现实起点，D 是长期目标，必须写下来，避免后续开发只做局部最优。</w:t>
      </w:r>
    </w:p>
    <w:p>
      <w:pPr>
        <w:pStyle w:val="Heading1"/>
      </w:pPr>
      <w:r>
        <w:t>2. 阶段规划</w:t>
      </w:r>
    </w:p>
    <w:p>
      <w:pPr>
        <w:spacing w:after="120" w:line="276" w:lineRule="auto"/>
      </w:pPr>
      <w:r>
        <w:t>M0：原则与启动准备；M1：对象模型 + 工作流 + 初始 harness；M2：模型治理与范式包；M3：实验与决策闭环；M4：portfolio 式模型治理。</w:t>
      </w:r>
    </w:p>
    <w:p>
      <w:pPr>
        <w:pStyle w:val="Heading1"/>
      </w:pPr>
      <w:r>
        <w:t>3. 三条优先建设流</w:t>
      </w:r>
    </w:p>
    <w:p>
      <w:pPr>
        <w:spacing w:after="120" w:line="276" w:lineRule="auto"/>
      </w:pPr>
      <w:r>
        <w:t>优先建设流包括：对象/Schema 流、工作流/任务引擎流、Harness/治理流。</w:t>
      </w:r>
    </w:p>
    <w:p>
      <w:pPr>
        <w:pStyle w:val="Heading1"/>
      </w:pPr>
      <w:r>
        <w:t>4. 避免偏航</w:t>
      </w:r>
    </w:p>
    <w:p>
      <w:pPr>
        <w:spacing w:after="120" w:line="276" w:lineRule="auto"/>
      </w:pPr>
      <w:r>
        <w:t>不要让系统退化成 crawler + vector DB + chat wrapper。长期目标必须始终保持为“自我改进的研究系统”。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