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8"/>
        </w:rPr>
        <w:t>IKE 数据契约与核心 Schema v0.1</w:t>
      </w:r>
    </w:p>
    <w:p>
      <w:pPr>
        <w:jc w:val="center"/>
      </w:pPr>
      <w:r>
        <w:rPr>
          <w:rFonts w:ascii="Arial" w:hAnsi="Arial" w:eastAsia="Microsoft YaHei"/>
          <w:i/>
          <w:sz w:val="22"/>
        </w:rPr>
        <w:t>Chinese review edition for architecture discussion and implementation handoff.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t>Document type</w:t>
            </w:r>
          </w:p>
        </w:tc>
        <w:tc>
          <w:tcPr>
            <w:tcW w:type="dxa" w:w="4896"/>
            <w:shd w:fill="D9EAF7"/>
          </w:tcPr>
          <w:p>
            <w:r>
              <w:t>Bilingual working spec</w:t>
            </w:r>
          </w:p>
        </w:tc>
      </w:tr>
    </w:tbl>
    <w:p>
      <w:pPr>
        <w:pStyle w:val="Heading1"/>
      </w:pPr>
      <w:r>
        <w:t>1. 目的</w:t>
      </w:r>
    </w:p>
    <w:p>
      <w:pPr>
        <w:spacing w:after="120" w:line="276" w:lineRule="auto"/>
      </w:pPr>
      <w:r>
        <w:t>本文定义 IKE 第一版可直接实现的数据契约与核心 Schema。</w:t>
      </w:r>
    </w:p>
    <w:p>
      <w:pPr>
        <w:pStyle w:val="Heading1"/>
      </w:pPr>
      <w:r>
        <w:t>2. 包络层</w:t>
      </w:r>
    </w:p>
    <w:p>
      <w:pPr>
        <w:spacing w:after="120" w:line="276" w:lineRule="auto"/>
      </w:pPr>
      <w:r>
        <w:t>所有持久化对象都应包含 id、kind、version、status、timestamps、provenance、confidence 和 references。</w:t>
      </w:r>
    </w:p>
    <w:p>
      <w:pPr>
        <w:pStyle w:val="Heading1"/>
      </w:pPr>
      <w:r>
        <w:t>3. 一等对象</w:t>
      </w:r>
    </w:p>
    <w:p>
      <w:pPr>
        <w:spacing w:after="120" w:line="276" w:lineRule="auto"/>
      </w:pPr>
      <w:r>
        <w:t>第一阶段的一等对象包括：Source、Observation、Entity、Relation、Claim、ThinkingModel、Paradigm、ResearchTask、Experiment、Decision、HarnessCase、EvaluationRecord。</w:t>
      </w:r>
    </w:p>
    <w:p>
      <w:pPr>
        <w:pStyle w:val="Heading1"/>
      </w:pPr>
      <w:r>
        <w:t>4. 反模式</w:t>
      </w:r>
    </w:p>
    <w:p>
      <w:pPr>
        <w:spacing w:after="120" w:line="276" w:lineRule="auto"/>
      </w:pPr>
      <w:r>
        <w:t>要避免模块间 schema 漂移、隐式枚举，以及缺失 provenance 和 version 字段的 payload。</w:t>
      </w:r>
    </w:p>
    <w:p>
      <w:pPr>
        <w:pStyle w:val="Heading1"/>
      </w:pPr>
      <w:r>
        <w:t>实施提示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3F8"/>
          </w:tcPr>
          <w:p>
            <w:r>
              <w:t>Primary editable source</w:t>
            </w:r>
          </w:p>
        </w:tc>
        <w:tc>
          <w:tcPr>
            <w:tcW w:type="dxa" w:w="4896"/>
            <w:shd w:fill="EAF3F8"/>
          </w:tcPr>
          <w:p>
            <w:r>
              <w:t>English Markdown</w:t>
            </w:r>
          </w:p>
        </w:tc>
      </w:tr>
      <w:tr>
        <w:tc>
          <w:tcPr>
            <w:tcW w:type="dxa" w:w="4896"/>
          </w:tcPr>
          <w:p>
            <w:r>
              <w:t>Translation</w:t>
            </w:r>
          </w:p>
        </w:tc>
        <w:tc>
          <w:tcPr>
            <w:tcW w:type="dxa" w:w="4896"/>
          </w:tcPr>
          <w:p>
            <w:r>
              <w:t>Chinese Markdown</w:t>
            </w:r>
          </w:p>
        </w:tc>
      </w:tr>
      <w:tr>
        <w:tc>
          <w:tcPr>
            <w:tcW w:type="dxa" w:w="4896"/>
          </w:tcPr>
          <w:p>
            <w:r>
              <w:t>Review/export artifact</w:t>
            </w:r>
          </w:p>
        </w:tc>
        <w:tc>
          <w:tcPr>
            <w:tcW w:type="dxa" w:w="4896"/>
          </w:tcPr>
          <w:p>
            <w:r>
              <w:t>Chinese DOCX</w:t>
            </w:r>
          </w:p>
        </w:tc>
      </w:tr>
    </w:tbl>
    <w:sectPr w:rsidR="00FC693F" w:rsidRPr="0006063C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Microsoft YaHe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