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API 接口面与模块接口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外部 API 家族</w:t>
      </w:r>
    </w:p>
    <w:p>
      <w:pPr>
        <w:spacing w:after="120" w:line="276" w:lineRule="auto"/>
      </w:pPr>
      <w:r>
        <w:t>建议的外部 API 家族包括：observations、knowledge、research、governance、harness、administration。</w:t>
      </w:r>
    </w:p>
    <w:p>
      <w:pPr>
        <w:pStyle w:val="Heading1"/>
      </w:pPr>
      <w:r>
        <w:t>2. 内部接口</w:t>
      </w:r>
    </w:p>
    <w:p>
      <w:pPr>
        <w:spacing w:after="120" w:line="276" w:lineRule="auto"/>
      </w:pPr>
      <w:r>
        <w:t>模块之间应通过应用层契约和事件通信，而不是直接共享数据库内部实现。</w:t>
      </w:r>
    </w:p>
    <w:p>
      <w:pPr>
        <w:pStyle w:val="Heading1"/>
      </w:pPr>
      <w:r>
        <w:t>3. 响应标准</w:t>
      </w:r>
    </w:p>
    <w:p>
      <w:pPr>
        <w:spacing w:after="120" w:line="276" w:lineRule="auto"/>
      </w:pPr>
      <w:r>
        <w:t>所有重要响应都应附带 provenance、confidence 和 traceability 信息。</w:t>
      </w:r>
    </w:p>
    <w:p>
      <w:pPr>
        <w:pStyle w:val="Heading1"/>
      </w:pPr>
      <w:r>
        <w:t>4. 第一阶段接口集</w:t>
      </w:r>
    </w:p>
    <w:p>
      <w:pPr>
        <w:spacing w:after="120" w:line="276" w:lineRule="auto"/>
      </w:pPr>
      <w:r>
        <w:t>第一阶段应优先实现 workflow 触发接口，以及 bootstrap 所需的对象 CRUD / 查询接口。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