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任务、实验与决策引擎规范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核心执行闭环</w:t>
      </w:r>
    </w:p>
    <w:p>
      <w:pPr>
        <w:spacing w:after="120" w:line="276" w:lineRule="auto"/>
      </w:pPr>
      <w:r>
        <w:t>任务可由信号、缺口、异常、治理动作或 harness 失败触发；任务可派生实验；实验产生证据；决策再执行采纳、拒绝、延后或升级。</w:t>
      </w:r>
    </w:p>
    <w:p>
      <w:pPr>
        <w:pStyle w:val="Heading1"/>
      </w:pPr>
      <w:r>
        <w:t>2. 状态机</w:t>
      </w:r>
    </w:p>
    <w:p>
      <w:pPr>
        <w:spacing w:after="120" w:line="276" w:lineRule="auto"/>
      </w:pPr>
      <w:r>
        <w:t>Task、Experiment、Decision 都必须拥有明确的状态机与审计轨迹。</w:t>
      </w:r>
    </w:p>
    <w:p>
      <w:pPr>
        <w:pStyle w:val="Heading1"/>
      </w:pPr>
      <w:r>
        <w:t>3. Human-in-the-Loop</w:t>
      </w:r>
    </w:p>
    <w:p>
      <w:pPr>
        <w:spacing w:after="120" w:line="276" w:lineRule="auto"/>
      </w:pPr>
      <w:r>
        <w:t>高影响决策应设置显式人工评审门。</w:t>
      </w:r>
    </w:p>
    <w:p>
      <w:pPr>
        <w:pStyle w:val="Heading1"/>
      </w:pPr>
      <w:r>
        <w:t>4. 集成关系</w:t>
      </w:r>
    </w:p>
    <w:p>
      <w:pPr>
        <w:spacing w:after="120" w:line="276" w:lineRule="auto"/>
      </w:pPr>
      <w:r>
        <w:t>该引擎是工作流、治理层、harness 与采纳记录的汇合点。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