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v0 原型启动计划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v0 必须证明什么</w:t>
      </w:r>
    </w:p>
    <w:p>
      <w:pPr>
        <w:spacing w:after="120" w:line="276" w:lineRule="auto"/>
      </w:pPr>
      <w:r>
        <w:t>v0 必须证明：IKE 能够摄取定向 observation、形成基础结构化知识、选择初始思考模型/范式配置、跑通一条研究工作流，并闭合至少一条任务-实验-决策循环。</w:t>
      </w:r>
    </w:p>
    <w:p>
      <w:pPr>
        <w:pStyle w:val="Heading1"/>
      </w:pPr>
      <w:r>
        <w:t>2. v0 不该做什么</w:t>
      </w:r>
    </w:p>
    <w:p>
      <w:pPr>
        <w:spacing w:after="120" w:line="276" w:lineRule="auto"/>
      </w:pPr>
      <w:r>
        <w:t>不要过度建设编排系统、分布式服务，或庞大而抽象的通用 agent 框架。</w:t>
      </w:r>
    </w:p>
    <w:p>
      <w:pPr>
        <w:pStyle w:val="Heading1"/>
      </w:pPr>
      <w:r>
        <w:t>3. Starter Pack</w:t>
      </w:r>
    </w:p>
    <w:p>
      <w:pPr>
        <w:spacing w:after="120" w:line="276" w:lineRule="auto"/>
      </w:pPr>
      <w:r>
        <w:t>使用小规模的领域、对象、API、工作流与 harness 样例启动。</w:t>
      </w:r>
    </w:p>
    <w:p>
      <w:pPr>
        <w:pStyle w:val="Heading1"/>
      </w:pPr>
      <w:r>
        <w:t>4. 退出标准</w:t>
      </w:r>
    </w:p>
    <w:p>
      <w:pPr>
        <w:spacing w:after="120" w:line="276" w:lineRule="auto"/>
      </w:pPr>
      <w:r>
        <w:t>当 bootstrap 循环真实存在、可检查且可重复时，v0 可以视为完成。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