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48"/>
        </w:rPr>
        <w:t>IKE Codex 执行 Backlog 与前 100 项任务 v0.1</w:t>
      </w:r>
    </w:p>
    <w:p>
      <w:pPr>
        <w:jc w:val="center"/>
      </w:pPr>
      <w:r>
        <w:rPr>
          <w:rFonts w:ascii="Arial" w:hAnsi="Arial" w:eastAsia="Microsoft YaHei"/>
          <w:i/>
          <w:sz w:val="22"/>
        </w:rPr>
        <w:t>Chinese review edition for architecture discussion and implementation handoff.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D9EAF7"/>
          </w:tcPr>
          <w:p>
            <w:r>
              <w:t>Document type</w:t>
            </w:r>
          </w:p>
        </w:tc>
        <w:tc>
          <w:tcPr>
            <w:tcW w:type="dxa" w:w="4896"/>
            <w:shd w:fill="D9EAF7"/>
          </w:tcPr>
          <w:p>
            <w:r>
              <w:t>Bilingual working spec</w:t>
            </w:r>
          </w:p>
        </w:tc>
      </w:tr>
    </w:tbl>
    <w:p>
      <w:pPr>
        <w:pStyle w:val="Heading1"/>
      </w:pPr>
      <w:r>
        <w:t>1. 目的</w:t>
      </w:r>
    </w:p>
    <w:p>
      <w:pPr>
        <w:spacing w:after="120" w:line="276" w:lineRule="auto"/>
      </w:pPr>
      <w:r>
        <w:t>本文把前面的架构设计压缩成一份适合 Codex 驱动实施的执行 backlog。</w:t>
      </w:r>
    </w:p>
    <w:p>
      <w:pPr>
        <w:pStyle w:val="Heading1"/>
      </w:pPr>
      <w:r>
        <w:t>2. 任务分桶</w:t>
      </w:r>
    </w:p>
    <w:p>
      <w:pPr>
        <w:spacing w:after="120" w:line="276" w:lineRule="auto"/>
      </w:pPr>
      <w:r>
        <w:t>前 100 项任务分为：仓库骨架、共享 schema、持久化、observation 摄取、知识装配、模型治理骨架、工作流、任务/实验/决策引擎、harness、API 接口与运维。</w:t>
      </w:r>
    </w:p>
    <w:p>
      <w:pPr>
        <w:pStyle w:val="Heading1"/>
      </w:pPr>
      <w:r>
        <w:t>3. 排序规则</w:t>
      </w:r>
    </w:p>
    <w:p>
      <w:pPr>
        <w:spacing w:after="120" w:line="276" w:lineRule="auto"/>
      </w:pPr>
      <w:r>
        <w:t>优先打通最窄的端到端切片：observation → entity/claim extraction → research task → experiment stub → decision record → harness record。</w:t>
      </w:r>
    </w:p>
    <w:p>
      <w:pPr>
        <w:pStyle w:val="Heading1"/>
      </w:pPr>
      <w:r>
        <w:t>4. 交付节奏</w:t>
      </w:r>
    </w:p>
    <w:p>
      <w:pPr>
        <w:spacing w:after="120" w:line="276" w:lineRule="auto"/>
      </w:pPr>
      <w:r>
        <w:t>Codex 应按小批次推进，以契约优先提交；每次接口变化都应同步更新 harness。</w:t>
      </w:r>
    </w:p>
    <w:p>
      <w:pPr>
        <w:pStyle w:val="Heading1"/>
      </w:pPr>
      <w:r>
        <w:t>实施提示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EAF3F8"/>
          </w:tcPr>
          <w:p>
            <w:r>
              <w:t>Primary editable source</w:t>
            </w:r>
          </w:p>
        </w:tc>
        <w:tc>
          <w:tcPr>
            <w:tcW w:type="dxa" w:w="4896"/>
            <w:shd w:fill="EAF3F8"/>
          </w:tcPr>
          <w:p>
            <w:r>
              <w:t>English Markdown</w:t>
            </w:r>
          </w:p>
        </w:tc>
      </w:tr>
      <w:tr>
        <w:tc>
          <w:tcPr>
            <w:tcW w:type="dxa" w:w="4896"/>
          </w:tcPr>
          <w:p>
            <w:r>
              <w:t>Translation</w:t>
            </w:r>
          </w:p>
        </w:tc>
        <w:tc>
          <w:tcPr>
            <w:tcW w:type="dxa" w:w="4896"/>
          </w:tcPr>
          <w:p>
            <w:r>
              <w:t>Chinese Markdown</w:t>
            </w:r>
          </w:p>
        </w:tc>
      </w:tr>
      <w:tr>
        <w:tc>
          <w:tcPr>
            <w:tcW w:type="dxa" w:w="4896"/>
          </w:tcPr>
          <w:p>
            <w:r>
              <w:t>Review/export artifact</w:t>
            </w:r>
          </w:p>
        </w:tc>
        <w:tc>
          <w:tcPr>
            <w:tcW w:type="dxa" w:w="4896"/>
          </w:tcPr>
          <w:p>
            <w:r>
              <w:t>Chinese DOCX</w:t>
            </w:r>
          </w:p>
        </w:tc>
      </w:tr>
    </w:tbl>
    <w:sectPr w:rsidR="00FC693F" w:rsidRPr="0006063C" w:rsidSect="00034616">
      <w:pgSz w:w="12240" w:h="15840"/>
      <w:pgMar w:top="1152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 w:eastAsia="Microsoft YaHei"/>
      <w:i/>
      <w:iCs/>
      <w:color w:val="000000" w:themeColor="text1"/>
      <w:sz w:val="2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