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IKE 元推理与模型治理规范 v0.1</w:t>
      </w:r>
    </w:p>
    <w:p>
      <w:pPr>
        <w:jc w:val="center"/>
      </w:pPr>
      <w:r>
        <w:rPr>
          <w:rFonts w:ascii="Arial" w:hAnsi="Arial" w:eastAsia="Microsoft YaHei"/>
          <w:i/>
          <w:sz w:val="22"/>
        </w:rPr>
        <w:t>Chinese review edition for architecture discussion and implementation handoff.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t>Document type</w:t>
            </w:r>
          </w:p>
        </w:tc>
        <w:tc>
          <w:tcPr>
            <w:tcW w:type="dxa" w:w="4896"/>
            <w:shd w:fill="D9EAF7"/>
          </w:tcPr>
          <w:p>
            <w:r>
              <w:t>Bilingual working spec</w:t>
            </w:r>
          </w:p>
        </w:tc>
      </w:tr>
    </w:tbl>
    <w:p>
      <w:pPr>
        <w:pStyle w:val="Heading1"/>
      </w:pPr>
      <w:r>
        <w:t>1. 范围</w:t>
      </w:r>
    </w:p>
    <w:p>
      <w:pPr>
        <w:spacing w:after="120" w:line="276" w:lineRule="auto"/>
      </w:pPr>
      <w:r>
        <w:t>本规范定义思考模型如何注册、选择、评估、降级、冻结、退休，以及如何吸收新模型进入系统。</w:t>
      </w:r>
    </w:p>
    <w:p>
      <w:pPr>
        <w:pStyle w:val="Heading1"/>
      </w:pPr>
      <w:r>
        <w:t>2. 核心对象</w:t>
      </w:r>
    </w:p>
    <w:p>
      <w:pPr>
        <w:spacing w:after="120" w:line="276" w:lineRule="auto"/>
      </w:pPr>
      <w:r>
        <w:t>治理核心对象包括 ThinkingModel、DomainParadigm、ModelSelectionRecord、ModelEvaluationRecord、GovernanceReview、ModelEvolutionEvent。</w:t>
      </w:r>
    </w:p>
    <w:p>
      <w:pPr>
        <w:pStyle w:val="Heading1"/>
      </w:pPr>
      <w:r>
        <w:t>3. 选择策略</w:t>
      </w:r>
    </w:p>
    <w:p>
      <w:pPr>
        <w:spacing w:after="120" w:line="276" w:lineRule="auto"/>
      </w:pPr>
      <w:r>
        <w:t>模型选择应综合任务类型、领域、证据形态、风险等级、置信度状态和历史表现。选择过程必须可解释并留下记录。</w:t>
      </w:r>
    </w:p>
    <w:p>
      <w:pPr>
        <w:pStyle w:val="Heading1"/>
      </w:pPr>
      <w:r>
        <w:t>4. 更新策略</w:t>
      </w:r>
    </w:p>
    <w:p>
      <w:pPr>
        <w:spacing w:after="120" w:line="276" w:lineRule="auto"/>
      </w:pPr>
      <w:r>
        <w:t>模型更新分为四层：参数级更新、组合级更新、模型增删，以及元规则级更新。</w:t>
      </w:r>
    </w:p>
    <w:p>
      <w:pPr>
        <w:pStyle w:val="Heading1"/>
      </w:pPr>
      <w:r>
        <w:t>5. 治理节奏</w:t>
      </w:r>
    </w:p>
    <w:p>
      <w:pPr>
        <w:spacing w:after="120" w:line="276" w:lineRule="auto"/>
      </w:pPr>
      <w:r>
        <w:t>建议建立周度运行复盘、月度模型评审、季度架构评审。治理不应依赖临时拍脑袋。</w:t>
      </w:r>
    </w:p>
    <w:p>
      <w:pPr>
        <w:pStyle w:val="Heading1"/>
      </w:pPr>
      <w:r>
        <w:t>实施提示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3F8"/>
          </w:tcPr>
          <w:p>
            <w:r>
              <w:t>Primary editable source</w:t>
            </w:r>
          </w:p>
        </w:tc>
        <w:tc>
          <w:tcPr>
            <w:tcW w:type="dxa" w:w="4896"/>
            <w:shd w:fill="EAF3F8"/>
          </w:tcPr>
          <w:p>
            <w:r>
              <w:t>English Markdown</w:t>
            </w:r>
          </w:p>
        </w:tc>
      </w:tr>
      <w:tr>
        <w:tc>
          <w:tcPr>
            <w:tcW w:type="dxa" w:w="4896"/>
          </w:tcPr>
          <w:p>
            <w:r>
              <w:t>Translation</w:t>
            </w:r>
          </w:p>
        </w:tc>
        <w:tc>
          <w:tcPr>
            <w:tcW w:type="dxa" w:w="4896"/>
          </w:tcPr>
          <w:p>
            <w:r>
              <w:t>Chinese Markdown</w:t>
            </w:r>
          </w:p>
        </w:tc>
      </w:tr>
      <w:tr>
        <w:tc>
          <w:tcPr>
            <w:tcW w:type="dxa" w:w="4896"/>
          </w:tcPr>
          <w:p>
            <w:r>
              <w:t>Review/export artifact</w:t>
            </w:r>
          </w:p>
        </w:tc>
        <w:tc>
          <w:tcPr>
            <w:tcW w:type="dxa" w:w="4896"/>
          </w:tcPr>
          <w:p>
            <w:r>
              <w:t>Chinese DOCX</w:t>
            </w:r>
          </w:p>
        </w:tc>
      </w:tr>
    </w:tbl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Microsoft YaHe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