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IKE Harness 体系规范 v0.1</w:t>
      </w:r>
    </w:p>
    <w:p>
      <w:pPr>
        <w:jc w:val="center"/>
      </w:pPr>
      <w:r>
        <w:rPr>
          <w:rFonts w:ascii="Arial" w:hAnsi="Arial" w:eastAsia="Microsoft YaHei"/>
          <w:i/>
          <w:sz w:val="22"/>
        </w:rPr>
        <w:t>Chinese review edition for architecture discussion and implementation handoff.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t>Document type</w:t>
            </w:r>
          </w:p>
        </w:tc>
        <w:tc>
          <w:tcPr>
            <w:tcW w:type="dxa" w:w="4896"/>
            <w:shd w:fill="D9EAF7"/>
          </w:tcPr>
          <w:p>
            <w:r>
              <w:t>Bilingual working spec</w:t>
            </w:r>
          </w:p>
        </w:tc>
      </w:tr>
    </w:tbl>
    <w:p>
      <w:pPr>
        <w:pStyle w:val="Heading1"/>
      </w:pPr>
      <w:r>
        <w:t>1. Harness 的定位</w:t>
      </w:r>
    </w:p>
    <w:p>
      <w:pPr>
        <w:spacing w:after="120" w:line="276" w:lineRule="auto"/>
      </w:pPr>
      <w:r>
        <w:t>在 IKE 中，harness 不只是测试工具，而是对感知质量、知识质量、思考质量和进化质量进行自我验证的基础设施。</w:t>
      </w:r>
    </w:p>
    <w:p>
      <w:pPr>
        <w:pStyle w:val="Heading1"/>
      </w:pPr>
      <w:r>
        <w:t>2. 五层 Harness</w:t>
      </w:r>
    </w:p>
    <w:p>
      <w:pPr>
        <w:spacing w:after="120" w:line="276" w:lineRule="auto"/>
      </w:pPr>
      <w:r>
        <w:t>包括 Information harness、Knowledge harness、Evolution harness、Thinking Model harness 和 Governance harness。</w:t>
      </w:r>
    </w:p>
    <w:p>
      <w:pPr>
        <w:pStyle w:val="Heading1"/>
      </w:pPr>
      <w:r>
        <w:t>3. 故事级 Harness</w:t>
      </w:r>
    </w:p>
    <w:p>
      <w:pPr>
        <w:spacing w:after="120" w:line="276" w:lineRule="auto"/>
      </w:pPr>
      <w:r>
        <w:t>高优先故事包括：领域底座建模、实体中心研究、问题导向判断、新概念发现与引入、范式比较，以及系统自升级评估。</w:t>
      </w:r>
    </w:p>
    <w:p>
      <w:pPr>
        <w:pStyle w:val="Heading1"/>
      </w:pPr>
      <w:r>
        <w:t>4. 评分原则</w:t>
      </w:r>
    </w:p>
    <w:p>
      <w:pPr>
        <w:spacing w:after="120" w:line="276" w:lineRule="auto"/>
      </w:pPr>
      <w:r>
        <w:t>结合确定性检查、结构化语义检查，以及必要时的模型判分。所有评估工件必须可追溯。</w:t>
      </w:r>
    </w:p>
    <w:p>
      <w:pPr>
        <w:pStyle w:val="Heading1"/>
      </w:pPr>
      <w:r>
        <w:t>5. 运行节奏</w:t>
      </w:r>
    </w:p>
    <w:p>
      <w:pPr>
        <w:spacing w:after="120" w:line="276" w:lineRule="auto"/>
      </w:pPr>
      <w:r>
        <w:t>建议建立轻量 pre-merge harness、夜间回归 harness 和月度治理 review harness。</w:t>
      </w:r>
    </w:p>
    <w:p>
      <w:pPr>
        <w:pStyle w:val="Heading1"/>
      </w:pPr>
      <w:r>
        <w:t>实施提示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3F8"/>
          </w:tcPr>
          <w:p>
            <w:r>
              <w:t>Primary editable source</w:t>
            </w:r>
          </w:p>
        </w:tc>
        <w:tc>
          <w:tcPr>
            <w:tcW w:type="dxa" w:w="4896"/>
            <w:shd w:fill="EAF3F8"/>
          </w:tcPr>
          <w:p>
            <w:r>
              <w:t>English Markdown</w:t>
            </w:r>
          </w:p>
        </w:tc>
      </w:tr>
      <w:tr>
        <w:tc>
          <w:tcPr>
            <w:tcW w:type="dxa" w:w="4896"/>
          </w:tcPr>
          <w:p>
            <w:r>
              <w:t>Translation</w:t>
            </w:r>
          </w:p>
        </w:tc>
        <w:tc>
          <w:tcPr>
            <w:tcW w:type="dxa" w:w="4896"/>
          </w:tcPr>
          <w:p>
            <w:r>
              <w:t>Chinese Markdown</w:t>
            </w:r>
          </w:p>
        </w:tc>
      </w:tr>
      <w:tr>
        <w:tc>
          <w:tcPr>
            <w:tcW w:type="dxa" w:w="4896"/>
          </w:tcPr>
          <w:p>
            <w:r>
              <w:t>Review/export artifact</w:t>
            </w:r>
          </w:p>
        </w:tc>
        <w:tc>
          <w:tcPr>
            <w:tcW w:type="dxa" w:w="4896"/>
          </w:tcPr>
          <w:p>
            <w:r>
              <w:t>Chinese DOCX</w:t>
            </w:r>
          </w:p>
        </w:tc>
      </w:tr>
    </w:tbl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Microsoft YaHe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