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48"/>
        </w:rPr>
        <w:t>IKE 对象模型与共享记忆层设计稿 v0.1</w:t>
      </w:r>
    </w:p>
    <w:p>
      <w:pPr>
        <w:jc w:val="center"/>
      </w:pPr>
      <w:r>
        <w:rPr>
          <w:rFonts w:ascii="Arial" w:hAnsi="Arial" w:eastAsia="Microsoft YaHei"/>
          <w:i/>
          <w:sz w:val="22"/>
        </w:rPr>
        <w:t>Chinese review edition for architecture discussion and implementation handoff.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Document type</w:t>
            </w:r>
          </w:p>
        </w:tc>
        <w:tc>
          <w:tcPr>
            <w:tcW w:type="dxa" w:w="4896"/>
            <w:shd w:fill="D9EAF7"/>
          </w:tcPr>
          <w:p>
            <w:r>
              <w:t>Bilingual working spec</w:t>
            </w:r>
          </w:p>
        </w:tc>
      </w:tr>
    </w:tbl>
    <w:p>
      <w:pPr>
        <w:pStyle w:val="Heading1"/>
      </w:pPr>
      <w:r>
        <w:t>1. 对象层</w:t>
      </w:r>
    </w:p>
    <w:p>
      <w:pPr>
        <w:spacing w:after="120" w:line="276" w:lineRule="auto"/>
      </w:pPr>
      <w:r>
        <w:t>统一对象层应至少包含 Source、Observation、Entity、Relation、Claim、Event、Concept、ThinkingModel、Paradigm、ResearchTask、Experiment、Decision、HarnessCase、GovernanceReview。</w:t>
      </w:r>
    </w:p>
    <w:p>
      <w:pPr>
        <w:pStyle w:val="Heading1"/>
      </w:pPr>
      <w:r>
        <w:t>2. 共享记忆层</w:t>
      </w:r>
    </w:p>
    <w:p>
      <w:pPr>
        <w:spacing w:after="120" w:line="276" w:lineRule="auto"/>
      </w:pPr>
      <w:r>
        <w:t>建议的记忆分层包括：观察记忆、证据记忆、结构化知识记忆、研究工作记忆、治理记忆、长期采纳记忆。</w:t>
      </w:r>
    </w:p>
    <w:p>
      <w:pPr>
        <w:pStyle w:val="Heading1"/>
      </w:pPr>
      <w:r>
        <w:t>3. 读写边界</w:t>
      </w:r>
    </w:p>
    <w:p>
      <w:pPr>
        <w:spacing w:after="120" w:line="276" w:lineRule="auto"/>
      </w:pPr>
      <w:r>
        <w:t>信息大脑写入 observation 与 source evaluation；知识大脑写入实体、关系与观点；进化大脑写入任务、实验和决策；治理层写入模型选择与评审记录。</w:t>
      </w:r>
    </w:p>
    <w:p>
      <w:pPr>
        <w:pStyle w:val="Heading1"/>
      </w:pPr>
      <w:r>
        <w:t>4. 生命周期</w:t>
      </w:r>
    </w:p>
    <w:p>
      <w:pPr>
        <w:spacing w:after="120" w:line="276" w:lineRule="auto"/>
      </w:pPr>
      <w:r>
        <w:t>对象应从 observation 演化到结构化解释，再进入任务、实验与采纳/退休流程，整个生命周期必须可检查。</w:t>
      </w:r>
    </w:p>
    <w:p>
      <w:pPr>
        <w:pStyle w:val="Heading1"/>
      </w:pPr>
      <w:r>
        <w:t>实施提示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3F8"/>
          </w:tcPr>
          <w:p>
            <w:r>
              <w:t>Primary editable source</w:t>
            </w:r>
          </w:p>
        </w:tc>
        <w:tc>
          <w:tcPr>
            <w:tcW w:type="dxa" w:w="4896"/>
            <w:shd w:fill="EAF3F8"/>
          </w:tcPr>
          <w:p>
            <w:r>
              <w:t>English Markdown</w:t>
            </w:r>
          </w:p>
        </w:tc>
      </w:tr>
      <w:tr>
        <w:tc>
          <w:tcPr>
            <w:tcW w:type="dxa" w:w="4896"/>
          </w:tcPr>
          <w:p>
            <w:r>
              <w:t>Translation</w:t>
            </w:r>
          </w:p>
        </w:tc>
        <w:tc>
          <w:tcPr>
            <w:tcW w:type="dxa" w:w="4896"/>
          </w:tcPr>
          <w:p>
            <w:r>
              <w:t>Chinese Markdown</w:t>
            </w:r>
          </w:p>
        </w:tc>
      </w:tr>
      <w:tr>
        <w:tc>
          <w:tcPr>
            <w:tcW w:type="dxa" w:w="4896"/>
          </w:tcPr>
          <w:p>
            <w:r>
              <w:t>Review/export artifact</w:t>
            </w:r>
          </w:p>
        </w:tc>
        <w:tc>
          <w:tcPr>
            <w:tcW w:type="dxa" w:w="4896"/>
          </w:tcPr>
          <w:p>
            <w:r>
              <w:t>Chinese DOCX</w:t>
            </w:r>
          </w:p>
        </w:tc>
      </w:tr>
    </w:tbl>
    <w:sectPr w:rsidR="00FC693F" w:rsidRPr="0006063C" w:rsidSect="00034616"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