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IKE 领域范式库与研究卡规范 v0.1</w:t>
      </w:r>
    </w:p>
    <w:p>
      <w:pPr>
        <w:jc w:val="center"/>
      </w:pPr>
      <w:r>
        <w:rPr>
          <w:rFonts w:ascii="Arial" w:hAnsi="Arial" w:eastAsia="Microsoft YaHei"/>
          <w:i/>
          <w:sz w:val="22"/>
        </w:rPr>
        <w:t>Chinese review edition for architecture discussion and implementation handoff.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t>Document type</w:t>
            </w:r>
          </w:p>
        </w:tc>
        <w:tc>
          <w:tcPr>
            <w:tcW w:type="dxa" w:w="4896"/>
            <w:shd w:fill="D9EAF7"/>
          </w:tcPr>
          <w:p>
            <w:r>
              <w:t>Bilingual working spec</w:t>
            </w:r>
          </w:p>
        </w:tc>
      </w:tr>
    </w:tbl>
    <w:p>
      <w:pPr>
        <w:pStyle w:val="Heading1"/>
      </w:pPr>
      <w:r>
        <w:t>1. 为什么需要范式库</w:t>
      </w:r>
    </w:p>
    <w:p>
      <w:pPr>
        <w:spacing w:after="120" w:line="276" w:lineRule="auto"/>
      </w:pPr>
      <w:r>
        <w:t>不同领域需要不同研究范式。一个领域不能只被表示为实体和事实，也必须包含对该领域进行解释和研究的竞争性方式。</w:t>
      </w:r>
    </w:p>
    <w:p>
      <w:pPr>
        <w:pStyle w:val="Heading1"/>
      </w:pPr>
      <w:r>
        <w:t>2. 核心对象</w:t>
      </w:r>
    </w:p>
    <w:p>
      <w:pPr>
        <w:spacing w:after="120" w:line="276" w:lineRule="auto"/>
      </w:pPr>
      <w:r>
        <w:t>将 Paradigm 和 ResearchCard 作为一等对象。Paradigm 描述核心假设、偏好的证据类型、典型问题和常见失效模式；ResearchCard 则把具体研究任务绑定到一个或多个范式上。</w:t>
      </w:r>
    </w:p>
    <w:p>
      <w:pPr>
        <w:pStyle w:val="Heading1"/>
      </w:pPr>
      <w:r>
        <w:t>3. Starter Pack</w:t>
      </w:r>
    </w:p>
    <w:p>
      <w:pPr>
        <w:spacing w:after="120" w:line="276" w:lineRule="auto"/>
      </w:pPr>
      <w:r>
        <w:t>应先为 AI、经济学、生命科学等优先领域准备初始范式包。</w:t>
      </w:r>
    </w:p>
    <w:p>
      <w:pPr>
        <w:pStyle w:val="Heading1"/>
      </w:pPr>
      <w:r>
        <w:t>4. 进化</w:t>
      </w:r>
    </w:p>
    <w:p>
      <w:pPr>
        <w:spacing w:after="120" w:line="276" w:lineRule="auto"/>
      </w:pPr>
      <w:r>
        <w:t>范式可以被吸收、拆分、合并、降级、冻结或退休，范式库本质上是动态演化的。</w:t>
      </w:r>
    </w:p>
    <w:p>
      <w:pPr>
        <w:pStyle w:val="Heading1"/>
      </w:pPr>
      <w:r>
        <w:t>实施提示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3F8"/>
          </w:tcPr>
          <w:p>
            <w:r>
              <w:t>Primary editable source</w:t>
            </w:r>
          </w:p>
        </w:tc>
        <w:tc>
          <w:tcPr>
            <w:tcW w:type="dxa" w:w="4896"/>
            <w:shd w:fill="EAF3F8"/>
          </w:tcPr>
          <w:p>
            <w:r>
              <w:t>English Markdown</w:t>
            </w:r>
          </w:p>
        </w:tc>
      </w:tr>
      <w:tr>
        <w:tc>
          <w:tcPr>
            <w:tcW w:type="dxa" w:w="4896"/>
          </w:tcPr>
          <w:p>
            <w:r>
              <w:t>Translation</w:t>
            </w:r>
          </w:p>
        </w:tc>
        <w:tc>
          <w:tcPr>
            <w:tcW w:type="dxa" w:w="4896"/>
          </w:tcPr>
          <w:p>
            <w:r>
              <w:t>Chinese Markdown</w:t>
            </w:r>
          </w:p>
        </w:tc>
      </w:tr>
      <w:tr>
        <w:tc>
          <w:tcPr>
            <w:tcW w:type="dxa" w:w="4896"/>
          </w:tcPr>
          <w:p>
            <w:r>
              <w:t>Review/export artifact</w:t>
            </w:r>
          </w:p>
        </w:tc>
        <w:tc>
          <w:tcPr>
            <w:tcW w:type="dxa" w:w="4896"/>
          </w:tcPr>
          <w:p>
            <w:r>
              <w:t>Chinese DOCX</w:t>
            </w:r>
          </w:p>
        </w:tc>
      </w:tr>
    </w:tbl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Microsoft YaHe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