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系统模块与服务边界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推荐起步形态</w:t>
      </w:r>
    </w:p>
    <w:p>
      <w:pPr>
        <w:spacing w:after="120" w:line="276" w:lineRule="auto"/>
      </w:pPr>
      <w:r>
        <w:t>建议从 modular monolith 起步，先做清晰模块边界和契约，再考虑拆服务。</w:t>
      </w:r>
    </w:p>
    <w:p>
      <w:pPr>
        <w:pStyle w:val="Heading1"/>
      </w:pPr>
      <w:r>
        <w:t>2. 模块分组</w:t>
      </w:r>
    </w:p>
    <w:p>
      <w:pPr>
        <w:spacing w:after="120" w:line="276" w:lineRule="auto"/>
      </w:pPr>
      <w:r>
        <w:t>建议的模块组包括：信息运行时、知识运行时、进化运行时、思考模型与治理运行时、共享对象/记忆层、harness 运行时以及外部 API 层。</w:t>
      </w:r>
    </w:p>
    <w:p>
      <w:pPr>
        <w:pStyle w:val="Heading1"/>
      </w:pPr>
      <w:r>
        <w:t>3. 边界规则</w:t>
      </w:r>
    </w:p>
    <w:p>
      <w:pPr>
        <w:spacing w:after="120" w:line="276" w:lineRule="auto"/>
      </w:pPr>
      <w:r>
        <w:t>共享 schema 应位于中立包中；任何模块都不应直接访问其他模块的私有持久化模型。</w:t>
      </w:r>
    </w:p>
    <w:p>
      <w:pPr>
        <w:pStyle w:val="Heading1"/>
      </w:pPr>
      <w:r>
        <w:t>4. 演化路径</w:t>
      </w:r>
    </w:p>
    <w:p>
      <w:pPr>
        <w:spacing w:after="120" w:line="276" w:lineRule="auto"/>
      </w:pPr>
      <w:r>
        <w:t>只有在真实运行压力或团队协作需求出现时，才按需要拆分服务，而不是出于理论洁癖。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