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IKE 现有代码评估与增量开发计划 v0.1</w:t>
      </w:r>
    </w:p>
    <w:p>
      <w:pPr>
        <w:jc w:val="center"/>
      </w:pPr>
      <w:r>
        <w:rPr>
          <w:i/>
          <w:sz w:val="19"/>
        </w:rPr>
        <w:t>Chinese review edition generated from the English Markdown source.</w:t>
      </w:r>
    </w:p>
    <w:p/>
    <w:p>
      <w:pPr>
        <w:pStyle w:val="Heading1"/>
      </w:pPr>
      <w:r>
        <w:t>1. 目的</w:t>
      </w:r>
    </w:p>
    <w:p>
      <w:r>
        <w:t>本文档的目标，是把 IKE 的设计体系和当前 MyAttention 仓库真实对齐，让 Codex 基于现有代码继续演进，而不是按从零开始的方式重写系统。重点是明确：哪些部分已经存在、哪些可以直接复用、哪些需要重构、哪些能力应该分阶段补齐。</w:t>
      </w:r>
    </w:p>
    <w:p>
      <w:pPr>
        <w:pStyle w:val="Heading1"/>
      </w:pPr>
      <w:r>
        <w:t>2. 当前仓库的真实情况</w:t>
      </w:r>
    </w:p>
    <w:p>
      <w:r>
        <w:t>当前仓库已经是一个 monorepo，包含 `services/api` 与 `services/web`，同时还有根目录下的运行脚本、设计文档、迁移、基础设施和 PNPM workspace。后端是 FastAPI，前端是 Next.js；文档中的运行时栈已经明确依赖 PostgreSQL、Redis 和 Qdrant。进度记录也已经明确了：先落设计文档，再开始编码，并且正在推进 feed 持久化分层、对象存储抽象、测试先行的改造路线。</w:t>
      </w:r>
    </w:p>
    <w:p>
      <w:r>
        <w:t>因此，IKE 的实现方式应该是“基于 MyAttention 的受控演进”，而不是 greenfield rewrite。</w:t>
      </w:r>
    </w:p>
    <w:p>
      <w:pPr>
        <w:pStyle w:val="Heading1"/>
      </w:pPr>
      <w:r>
        <w:t>3. 已存在且应保留的部分</w:t>
      </w:r>
    </w:p>
    <w:p>
      <w:pPr>
        <w:pStyle w:val="Heading2"/>
      </w:pPr>
      <w:r>
        <w:t>3.1 运行时与打包骨架</w:t>
      </w:r>
    </w:p>
    <w:p>
      <w:r>
        <w:t>建议保留并直接复用：</w:t>
      </w:r>
    </w:p>
    <w:p>
      <w:pPr>
        <w:pStyle w:val="ListBullet"/>
        <w:ind w:left="0"/>
      </w:pPr>
      <w:r>
        <w:t>根级 monorepo 结构；</w:t>
      </w:r>
    </w:p>
    <w:p>
      <w:pPr>
        <w:pStyle w:val="ListBullet"/>
        <w:ind w:left="0"/>
      </w:pPr>
      <w:r>
        <w:t>`services/api` 作为第一阶段主应用运行时；</w:t>
      </w:r>
    </w:p>
    <w:p>
      <w:pPr>
        <w:pStyle w:val="ListBullet"/>
        <w:ind w:left="0"/>
      </w:pPr>
      <w:r>
        <w:t>`services/web` 作为第一阶段主 UI 运行时；</w:t>
      </w:r>
    </w:p>
    <w:p>
      <w:pPr>
        <w:pStyle w:val="ListBullet"/>
        <w:ind w:left="0"/>
      </w:pPr>
      <w:r>
        <w:t>根目录 `package.json` 与 PNPM workspace 约定；</w:t>
      </w:r>
    </w:p>
    <w:p>
      <w:pPr>
        <w:pStyle w:val="ListBullet"/>
        <w:ind w:left="0"/>
      </w:pPr>
      <w:r>
        <w:t>`manage.py` 与 watchdog 类运行辅助脚本。</w:t>
      </w:r>
    </w:p>
    <w:p>
      <w:pPr>
        <w:pStyle w:val="Heading2"/>
      </w:pPr>
      <w:r>
        <w:t>3.2 后端领域骨架</w:t>
      </w:r>
    </w:p>
    <w:p>
      <w:r>
        <w:t>后端已经具备较好的顶层模块命名空间：</w:t>
      </w:r>
    </w:p>
    <w:p>
      <w:pPr>
        <w:pStyle w:val="ListBullet"/>
        <w:ind w:left="0"/>
      </w:pPr>
      <w:r>
        <w:t>`feeds/`</w:t>
      </w:r>
    </w:p>
    <w:p>
      <w:pPr>
        <w:pStyle w:val="ListBullet"/>
        <w:ind w:left="0"/>
      </w:pPr>
      <w:r>
        <w:t>`knowledge/`</w:t>
      </w:r>
    </w:p>
    <w:p>
      <w:pPr>
        <w:pStyle w:val="ListBullet"/>
        <w:ind w:left="0"/>
      </w:pPr>
      <w:r>
        <w:t>`rag/`</w:t>
      </w:r>
    </w:p>
    <w:p>
      <w:pPr>
        <w:pStyle w:val="ListBullet"/>
        <w:ind w:left="0"/>
      </w:pPr>
      <w:r>
        <w:t>`llm/`</w:t>
      </w:r>
    </w:p>
    <w:p>
      <w:pPr>
        <w:pStyle w:val="ListBullet"/>
        <w:ind w:left="0"/>
      </w:pPr>
      <w:r>
        <w:t>`memory/`</w:t>
      </w:r>
    </w:p>
    <w:p>
      <w:pPr>
        <w:pStyle w:val="ListBullet"/>
        <w:ind w:left="0"/>
      </w:pPr>
      <w:r>
        <w:t>`pipeline/`</w:t>
      </w:r>
    </w:p>
    <w:p>
      <w:pPr>
        <w:pStyle w:val="ListBullet"/>
        <w:ind w:left="0"/>
      </w:pPr>
      <w:r>
        <w:t>`storage/`</w:t>
      </w:r>
    </w:p>
    <w:p>
      <w:pPr>
        <w:pStyle w:val="ListBullet"/>
        <w:ind w:left="0"/>
      </w:pPr>
      <w:r>
        <w:t>`notifications/`</w:t>
      </w:r>
    </w:p>
    <w:p>
      <w:pPr>
        <w:pStyle w:val="ListBullet"/>
        <w:ind w:left="0"/>
      </w:pPr>
      <w:r>
        <w:t>`routers/`</w:t>
      </w:r>
    </w:p>
    <w:p>
      <w:pPr>
        <w:pStyle w:val="ListBullet"/>
        <w:ind w:left="0"/>
      </w:pPr>
      <w:r>
        <w:t>`tests/`</w:t>
      </w:r>
    </w:p>
    <w:p>
      <w:r>
        <w:t>这些模块本身就可以作为 Information Brain、Knowledge Brain 以及 Evolution Brain 早期实现的种子模块。</w:t>
      </w:r>
    </w:p>
    <w:p>
      <w:pPr>
        <w:pStyle w:val="Heading2"/>
      </w:pPr>
      <w:r>
        <w:t>3.3 现有 router 面已经形成</w:t>
      </w:r>
    </w:p>
    <w:p>
      <w:r>
        <w:t>当前已经存在的 routers 包括：</w:t>
      </w:r>
    </w:p>
    <w:p>
      <w:pPr>
        <w:pStyle w:val="ListBullet"/>
        <w:ind w:left="0"/>
      </w:pPr>
      <w:r>
        <w:t>chat</w:t>
      </w:r>
    </w:p>
    <w:p>
      <w:pPr>
        <w:pStyle w:val="ListBullet"/>
        <w:ind w:left="0"/>
      </w:pPr>
      <w:r>
        <w:t>conversations</w:t>
      </w:r>
    </w:p>
    <w:p>
      <w:pPr>
        <w:pStyle w:val="ListBullet"/>
        <w:ind w:left="0"/>
      </w:pPr>
      <w:r>
        <w:t>evolution</w:t>
      </w:r>
    </w:p>
    <w:p>
      <w:pPr>
        <w:pStyle w:val="ListBullet"/>
        <w:ind w:left="0"/>
      </w:pPr>
      <w:r>
        <w:t>feeds</w:t>
      </w:r>
    </w:p>
    <w:p>
      <w:pPr>
        <w:pStyle w:val="ListBullet"/>
        <w:ind w:left="0"/>
      </w:pPr>
      <w:r>
        <w:t>feishu</w:t>
      </w:r>
    </w:p>
    <w:p>
      <w:pPr>
        <w:pStyle w:val="ListBullet"/>
        <w:ind w:left="0"/>
      </w:pPr>
      <w:r>
        <w:t>memories</w:t>
      </w:r>
    </w:p>
    <w:p>
      <w:pPr>
        <w:pStyle w:val="ListBullet"/>
        <w:ind w:left="0"/>
      </w:pPr>
      <w:r>
        <w:t>models</w:t>
      </w:r>
    </w:p>
    <w:p>
      <w:pPr>
        <w:pStyle w:val="ListBullet"/>
        <w:ind w:left="0"/>
      </w:pPr>
      <w:r>
        <w:t>rag</w:t>
      </w:r>
    </w:p>
    <w:p>
      <w:pPr>
        <w:pStyle w:val="ListBullet"/>
        <w:ind w:left="0"/>
      </w:pPr>
      <w:r>
        <w:t>settings</w:t>
      </w:r>
    </w:p>
    <w:p>
      <w:pPr>
        <w:pStyle w:val="ListBullet"/>
        <w:ind w:left="0"/>
      </w:pPr>
      <w:r>
        <w:t>system</w:t>
      </w:r>
    </w:p>
    <w:p>
      <w:pPr>
        <w:pStyle w:val="ListBullet"/>
        <w:ind w:left="0"/>
      </w:pPr>
      <w:r>
        <w:t>testing</w:t>
      </w:r>
    </w:p>
    <w:p>
      <w:r>
        <w:t>这意味着未来 IKE 的 API surface 不需要从空白 OpenAPI 重新设计，而应该在现有 router 面基础上逐步升级。</w:t>
      </w:r>
    </w:p>
    <w:p>
      <w:pPr>
        <w:pStyle w:val="Heading2"/>
      </w:pPr>
      <w:r>
        <w:t>3.4 持久化与测试方向已经启动</w:t>
      </w:r>
    </w:p>
    <w:p>
      <w:r>
        <w:t>根据进度记录和现有测试文件，项目已经开始推进：</w:t>
      </w:r>
    </w:p>
    <w:p>
      <w:pPr>
        <w:pStyle w:val="ListBullet"/>
        <w:ind w:left="0"/>
      </w:pPr>
      <w:r>
        <w:t>raw ingest key；</w:t>
      </w:r>
    </w:p>
    <w:p>
      <w:pPr>
        <w:pStyle w:val="ListBullet"/>
        <w:ind w:left="0"/>
      </w:pPr>
      <w:r>
        <w:t>feed persistence helper；</w:t>
      </w:r>
    </w:p>
    <w:p>
      <w:pPr>
        <w:pStyle w:val="ListBullet"/>
        <w:ind w:left="0"/>
      </w:pPr>
      <w:r>
        <w:t>local object store abstraction；</w:t>
      </w:r>
    </w:p>
    <w:p>
      <w:pPr>
        <w:pStyle w:val="ListBullet"/>
        <w:ind w:left="0"/>
      </w:pPr>
      <w:r>
        <w:t>collection health；</w:t>
      </w:r>
    </w:p>
    <w:p>
      <w:pPr>
        <w:pStyle w:val="ListBullet"/>
        <w:ind w:left="0"/>
      </w:pPr>
      <w:r>
        <w:t>task processor system health。</w:t>
      </w:r>
    </w:p>
    <w:p>
      <w:r>
        <w:t>这恰好是挂接 IKE harness 和治理闭环的最佳起点。</w:t>
      </w:r>
    </w:p>
    <w:p>
      <w:pPr>
        <w:pStyle w:val="Heading1"/>
      </w:pPr>
      <w:r>
        <w:t>4. 当前代码到 IKE 的映射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现有模块</w:t>
            </w:r>
          </w:p>
        </w:tc>
        <w:tc>
          <w:tcPr>
            <w:tcW w:type="dxa" w:w="3264"/>
          </w:tcPr>
          <w:p>
            <w:r>
              <w:t>近阶段 IKE 角色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`feeds/`</w:t>
            </w:r>
          </w:p>
        </w:tc>
        <w:tc>
          <w:tcPr>
            <w:tcW w:type="dxa" w:w="3264"/>
          </w:tcPr>
          <w:p>
            <w:r>
              <w:t>Information Brain 核心</w:t>
            </w:r>
          </w:p>
        </w:tc>
        <w:tc>
          <w:tcPr>
            <w:tcW w:type="dxa" w:w="3264"/>
          </w:tcPr>
          <w:p>
            <w:r>
              <w:t>保持为来源采集与信号抽取中心。</w:t>
            </w:r>
          </w:p>
        </w:tc>
      </w:tr>
      <w:tr>
        <w:tc>
          <w:tcPr>
            <w:tcW w:type="dxa" w:w="3264"/>
          </w:tcPr>
          <w:p>
            <w:r>
              <w:t>`knowledge/`</w:t>
            </w:r>
          </w:p>
        </w:tc>
        <w:tc>
          <w:tcPr>
            <w:tcW w:type="dxa" w:w="3264"/>
          </w:tcPr>
          <w:p>
            <w:r>
              <w:t>Knowledge Brain 种子</w:t>
            </w:r>
          </w:p>
        </w:tc>
        <w:tc>
          <w:tcPr>
            <w:tcW w:type="dxa" w:w="3264"/>
          </w:tcPr>
          <w:p>
            <w:r>
              <w:t>从 graph 与 web_search 扩展到字段模型、claim 与领域结构。</w:t>
            </w:r>
          </w:p>
        </w:tc>
      </w:tr>
      <w:tr>
        <w:tc>
          <w:tcPr>
            <w:tcW w:type="dxa" w:w="3264"/>
          </w:tcPr>
          <w:p>
            <w:r>
              <w:t>`rag/`</w:t>
            </w:r>
          </w:p>
        </w:tc>
        <w:tc>
          <w:tcPr>
            <w:tcW w:type="dxa" w:w="3264"/>
          </w:tcPr>
          <w:p>
            <w:r>
              <w:t>知识访问运行时</w:t>
            </w:r>
          </w:p>
        </w:tc>
        <w:tc>
          <w:tcPr>
            <w:tcW w:type="dxa" w:w="3264"/>
          </w:tcPr>
          <w:p>
            <w:r>
              <w:t>保留为 retrieval engine，不应等同于整个 Knowledge Brain。</w:t>
            </w:r>
          </w:p>
        </w:tc>
      </w:tr>
      <w:tr>
        <w:tc>
          <w:tcPr>
            <w:tcW w:type="dxa" w:w="3264"/>
          </w:tcPr>
          <w:p>
            <w:r>
              <w:t>`memory/`</w:t>
            </w:r>
          </w:p>
        </w:tc>
        <w:tc>
          <w:tcPr>
            <w:tcW w:type="dxa" w:w="3264"/>
          </w:tcPr>
          <w:p>
            <w:r>
              <w:t>Shared Memory 种子</w:t>
            </w:r>
          </w:p>
        </w:tc>
        <w:tc>
          <w:tcPr>
            <w:tcW w:type="dxa" w:w="3264"/>
          </w:tcPr>
          <w:p>
            <w:r>
              <w:t>从对话记忆扩展到共享记忆对象。</w:t>
            </w:r>
          </w:p>
        </w:tc>
      </w:tr>
      <w:tr>
        <w:tc>
          <w:tcPr>
            <w:tcW w:type="dxa" w:w="3264"/>
          </w:tcPr>
          <w:p>
            <w:r>
              <w:t>`pipeline/`</w:t>
            </w:r>
          </w:p>
        </w:tc>
        <w:tc>
          <w:tcPr>
            <w:tcW w:type="dxa" w:w="3264"/>
          </w:tcPr>
          <w:p>
            <w:r>
              <w:t>Workflow 编排种子</w:t>
            </w:r>
          </w:p>
        </w:tc>
        <w:tc>
          <w:tcPr>
            <w:tcW w:type="dxa" w:w="3264"/>
          </w:tcPr>
          <w:p>
            <w:r>
              <w:t>在拆独立 worker 之前，适合作为任务与实验流的落点。</w:t>
            </w:r>
          </w:p>
        </w:tc>
      </w:tr>
      <w:tr>
        <w:tc>
          <w:tcPr>
            <w:tcW w:type="dxa" w:w="3264"/>
          </w:tcPr>
          <w:p>
            <w:r>
              <w:t>`routers/evolution.py`</w:t>
            </w:r>
          </w:p>
        </w:tc>
        <w:tc>
          <w:tcPr>
            <w:tcW w:type="dxa" w:w="3264"/>
          </w:tcPr>
          <w:p>
            <w:r>
              <w:t>Evolution Brain 控制入口种子</w:t>
            </w:r>
          </w:p>
        </w:tc>
        <w:tc>
          <w:tcPr>
            <w:tcW w:type="dxa" w:w="3264"/>
          </w:tcPr>
          <w:p>
            <w:r>
              <w:t>不应推倒重来，而应沿用为第一版进化控制 API。</w:t>
            </w:r>
          </w:p>
        </w:tc>
      </w:tr>
      <w:tr>
        <w:tc>
          <w:tcPr>
            <w:tcW w:type="dxa" w:w="3264"/>
          </w:tcPr>
          <w:p>
            <w:r>
              <w:t>`routers/testing.py`</w:t>
            </w:r>
          </w:p>
        </w:tc>
        <w:tc>
          <w:tcPr>
            <w:tcW w:type="dxa" w:w="3264"/>
          </w:tcPr>
          <w:p>
            <w:r>
              <w:t>Harness 网关种子</w:t>
            </w:r>
          </w:p>
        </w:tc>
        <w:tc>
          <w:tcPr>
            <w:tcW w:type="dxa" w:w="3264"/>
          </w:tcPr>
          <w:p>
            <w:r>
              <w:t>逐步升级为正式 harness 执行入口。</w:t>
            </w:r>
          </w:p>
        </w:tc>
      </w:tr>
      <w:tr>
        <w:tc>
          <w:tcPr>
            <w:tcW w:type="dxa" w:w="3264"/>
          </w:tcPr>
          <w:p>
            <w:r>
              <w:t>`storage/` + 对象存储工作</w:t>
            </w:r>
          </w:p>
        </w:tc>
        <w:tc>
          <w:tcPr>
            <w:tcW w:type="dxa" w:w="3264"/>
          </w:tcPr>
          <w:p>
            <w:r>
              <w:t>共享 artifact 基座</w:t>
            </w:r>
          </w:p>
        </w:tc>
        <w:tc>
          <w:tcPr>
            <w:tcW w:type="dxa" w:w="3264"/>
          </w:tcPr>
          <w:p>
            <w:r>
              <w:t>应直接保留并加固。</w:t>
            </w:r>
          </w:p>
        </w:tc>
      </w:tr>
      <w:tr>
        <w:tc>
          <w:tcPr>
            <w:tcW w:type="dxa" w:w="3264"/>
          </w:tcPr>
          <w:p>
            <w:r>
              <w:t>`tests/`</w:t>
            </w:r>
          </w:p>
        </w:tc>
        <w:tc>
          <w:tcPr>
            <w:tcW w:type="dxa" w:w="3264"/>
          </w:tcPr>
          <w:p>
            <w:r>
              <w:t>第一批回归 harness 种子</w:t>
            </w:r>
          </w:p>
        </w:tc>
        <w:tc>
          <w:tcPr>
            <w:tcW w:type="dxa" w:w="3264"/>
          </w:tcPr>
          <w:p>
            <w:r>
              <w:t>从模块测试扩展为分层 harness 套件。</w:t>
            </w:r>
          </w:p>
        </w:tc>
      </w:tr>
    </w:tbl>
    <w:p>
      <w:pPr>
        <w:pStyle w:val="Heading1"/>
      </w:pPr>
      <w:r>
        <w:t>5. 不应重写的部分</w:t>
      </w:r>
    </w:p>
    <w:p>
      <w:r>
        <w:t>Codex 不应轻易重写以下区域，除非有明确阻塞：</w:t>
      </w:r>
    </w:p>
    <w:p>
      <w:pPr>
        <w:pStyle w:val="ListBullet"/>
        <w:ind w:left="0"/>
      </w:pPr>
      <w:r>
        <w:t>FastAPI 应用引导与 router 注册；</w:t>
      </w:r>
    </w:p>
    <w:p>
      <w:pPr>
        <w:pStyle w:val="ListBullet"/>
        <w:ind w:left="0"/>
      </w:pPr>
      <w:r>
        <w:t>`services/web` 的基础壳；</w:t>
      </w:r>
    </w:p>
    <w:p>
      <w:pPr>
        <w:pStyle w:val="ListBullet"/>
        <w:ind w:left="0"/>
      </w:pPr>
      <w:r>
        <w:t>当前 PostgreSQL / Redis / Qdrant 依赖前提；</w:t>
      </w:r>
    </w:p>
    <w:p>
      <w:pPr>
        <w:pStyle w:val="ListBullet"/>
        <w:ind w:left="0"/>
      </w:pPr>
      <w:r>
        <w:t>根级 workspace 与 docker 入口；</w:t>
      </w:r>
    </w:p>
    <w:p>
      <w:pPr>
        <w:pStyle w:val="ListBullet"/>
        <w:ind w:left="0"/>
      </w:pPr>
      <w:r>
        <w:t>已经在测试和进度记录中体现出的 feed storage / health 相关工作。</w:t>
      </w:r>
    </w:p>
    <w:p>
      <w:r>
        <w:t>原则很简单：保留可运行骨架，向内重构，而不是先拆掉。</w:t>
      </w:r>
    </w:p>
    <w:p>
      <w:pPr>
        <w:pStyle w:val="Heading1"/>
      </w:pPr>
      <w:r>
        <w:t>6. 当前代码与目标 IKE 之间的缺口</w:t>
      </w:r>
    </w:p>
    <w:p>
      <w:pPr>
        <w:pStyle w:val="Heading2"/>
      </w:pPr>
      <w:r>
        <w:t>6.1 概念层缺口</w:t>
      </w:r>
    </w:p>
    <w:p>
      <w:r>
        <w:t>当前仓库已经在文档层表达了三脑模型，但还没有完全落成系统级契约。缺口主要包括：</w:t>
      </w:r>
    </w:p>
    <w:p>
      <w:pPr>
        <w:pStyle w:val="ListBullet"/>
        <w:ind w:left="0"/>
      </w:pPr>
      <w:r>
        <w:t>Thinking Model 一等对象；</w:t>
      </w:r>
    </w:p>
    <w:p>
      <w:pPr>
        <w:pStyle w:val="ListBullet"/>
        <w:ind w:left="0"/>
      </w:pPr>
      <w:r>
        <w:t>Paradigm 一等对象；</w:t>
      </w:r>
    </w:p>
    <w:p>
      <w:pPr>
        <w:pStyle w:val="ListBullet"/>
        <w:ind w:left="0"/>
      </w:pPr>
      <w:r>
        <w:t>Meta-Reasoning Governance 状态；</w:t>
      </w:r>
    </w:p>
    <w:p>
      <w:pPr>
        <w:pStyle w:val="ListBullet"/>
        <w:ind w:left="0"/>
      </w:pPr>
      <w:r>
        <w:t>Task / Experiment / Decision 引擎契约；</w:t>
      </w:r>
    </w:p>
    <w:p>
      <w:pPr>
        <w:pStyle w:val="ListBullet"/>
        <w:ind w:left="0"/>
      </w:pPr>
      <w:r>
        <w:t>Shared Object envelope 与记忆晋升规则。</w:t>
      </w:r>
    </w:p>
    <w:p>
      <w:pPr>
        <w:pStyle w:val="Heading2"/>
      </w:pPr>
      <w:r>
        <w:t>6.2 架构层缺口</w:t>
      </w:r>
    </w:p>
    <w:p>
      <w:r>
        <w:t>当前尚未完全成形的架构点包括：</w:t>
      </w:r>
    </w:p>
    <w:p>
      <w:pPr>
        <w:pStyle w:val="ListBullet"/>
        <w:ind w:left="0"/>
      </w:pPr>
      <w:r>
        <w:t>后端内部稳定 package 边界；</w:t>
      </w:r>
    </w:p>
    <w:p>
      <w:pPr>
        <w:pStyle w:val="ListBullet"/>
        <w:ind w:left="0"/>
      </w:pPr>
      <w:r>
        <w:t>在 routers 与 workers 之间共享的 schemas 层；</w:t>
      </w:r>
    </w:p>
    <w:p>
      <w:pPr>
        <w:pStyle w:val="ListBullet"/>
        <w:ind w:left="0"/>
      </w:pPr>
      <w:r>
        <w:t>API model 与 domain model 的明确分离；</w:t>
      </w:r>
    </w:p>
    <w:p>
      <w:pPr>
        <w:pStyle w:val="ListBullet"/>
        <w:ind w:left="0"/>
      </w:pPr>
      <w:r>
        <w:t>后台 workflow 的事件契约；</w:t>
      </w:r>
    </w:p>
    <w:p>
      <w:pPr>
        <w:pStyle w:val="ListBullet"/>
        <w:ind w:left="0"/>
      </w:pPr>
      <w:r>
        <w:t>harness worker 与 governance review job 的运行时拓扑。</w:t>
      </w:r>
    </w:p>
    <w:p>
      <w:pPr>
        <w:pStyle w:val="Heading2"/>
      </w:pPr>
      <w:r>
        <w:t>6.3 产品层缺口</w:t>
      </w:r>
    </w:p>
    <w:p>
      <w:r>
        <w:t>当前系统已经有 chat、feeds、memory、knowledge base 类功能，但 IKE 还缺：</w:t>
      </w:r>
    </w:p>
    <w:p>
      <w:pPr>
        <w:pStyle w:val="ListBullet"/>
        <w:ind w:left="0"/>
      </w:pPr>
      <w:r>
        <w:t>paradigm library 检视面；</w:t>
      </w:r>
    </w:p>
    <w:p>
      <w:pPr>
        <w:pStyle w:val="ListBullet"/>
        <w:ind w:left="0"/>
      </w:pPr>
      <w:r>
        <w:t>research card 生命周期；</w:t>
      </w:r>
    </w:p>
    <w:p>
      <w:pPr>
        <w:pStyle w:val="ListBullet"/>
        <w:ind w:left="0"/>
      </w:pPr>
      <w:r>
        <w:t>experiment review；</w:t>
      </w:r>
    </w:p>
    <w:p>
      <w:pPr>
        <w:pStyle w:val="ListBullet"/>
        <w:ind w:left="0"/>
      </w:pPr>
      <w:r>
        <w:t>decision promotion / adoption history；</w:t>
      </w:r>
    </w:p>
    <w:p>
      <w:pPr>
        <w:pStyle w:val="ListBullet"/>
        <w:ind w:left="0"/>
      </w:pPr>
      <w:r>
        <w:t>governance review dashboard。</w:t>
      </w:r>
    </w:p>
    <w:p>
      <w:pPr>
        <w:pStyle w:val="Heading1"/>
      </w:pPr>
      <w:r>
        <w:t>7. 推荐的增量演进路线</w:t>
      </w:r>
    </w:p>
    <w:p>
      <w:pPr>
        <w:pStyle w:val="Heading2"/>
      </w:pPr>
      <w:r>
        <w:t>阶段 A - 稳定并包裹现有实现</w:t>
      </w:r>
    </w:p>
    <w:p>
      <w:r>
        <w:t>优先做：</w:t>
      </w:r>
    </w:p>
    <w:p>
      <w:pPr>
        <w:pStyle w:val="ListBullet"/>
        <w:ind w:left="0"/>
      </w:pPr>
      <w:r>
        <w:t>冻结已经足够合理的外部目录名；</w:t>
      </w:r>
    </w:p>
    <w:p>
      <w:pPr>
        <w:pStyle w:val="ListBullet"/>
        <w:ind w:left="0"/>
      </w:pPr>
      <w:r>
        <w:t>在现有后端内新增 shared schema 包；</w:t>
      </w:r>
    </w:p>
    <w:p>
      <w:pPr>
        <w:pStyle w:val="ListBullet"/>
        <w:ind w:left="0"/>
      </w:pPr>
      <w:r>
        <w:t>先定义 canonical object envelope，而不是一次性重写所有实现；</w:t>
      </w:r>
    </w:p>
    <w:p>
      <w:pPr>
        <w:pStyle w:val="ListBullet"/>
        <w:ind w:left="0"/>
      </w:pPr>
      <w:r>
        <w:t>加入薄兼容层，让 routers 可以逐步返回新 envelope。</w:t>
      </w:r>
    </w:p>
    <w:p>
      <w:pPr>
        <w:pStyle w:val="Heading2"/>
      </w:pPr>
      <w:r>
        <w:t>阶段 B - 原地重构核心模块</w:t>
      </w:r>
    </w:p>
    <w:p>
      <w:r>
        <w:t>下一步做：</w:t>
      </w:r>
    </w:p>
    <w:p>
      <w:pPr>
        <w:pStyle w:val="ListBullet"/>
        <w:ind w:left="0"/>
      </w:pPr>
      <w:r>
        <w:t>将 feed persistence 与 raw ingest 工作收口到稳定 service interface 后面；</w:t>
      </w:r>
    </w:p>
    <w:p>
      <w:pPr>
        <w:pStyle w:val="ListBullet"/>
        <w:ind w:left="0"/>
      </w:pPr>
      <w:r>
        <w:t>将 `knowledge/graph.py` 与 `rag/engine.py` 提升为明确的 domain service；</w:t>
      </w:r>
    </w:p>
    <w:p>
      <w:pPr>
        <w:pStyle w:val="ListBullet"/>
        <w:ind w:left="0"/>
      </w:pPr>
      <w:r>
        <w:t>在现有模块旁新增 `workflow/` 与 `governance/`；</w:t>
      </w:r>
    </w:p>
    <w:p>
      <w:pPr>
        <w:pStyle w:val="ListBullet"/>
        <w:ind w:left="0"/>
      </w:pPr>
      <w:r>
        <w:t>将 `routers/testing.py` 接到正式 harness run 与 artifact 模型上。</w:t>
      </w:r>
    </w:p>
    <w:p>
      <w:pPr>
        <w:pStyle w:val="Heading2"/>
      </w:pPr>
      <w:r>
        <w:t>阶段 C - 补齐 IKE-first 能力</w:t>
      </w:r>
    </w:p>
    <w:p>
      <w:r>
        <w:t>再往后补：</w:t>
      </w:r>
    </w:p>
    <w:p>
      <w:pPr>
        <w:pStyle w:val="ListBullet"/>
        <w:ind w:left="0"/>
      </w:pPr>
      <w:r>
        <w:t>Thinking Model registry；</w:t>
      </w:r>
    </w:p>
    <w:p>
      <w:pPr>
        <w:pStyle w:val="ListBullet"/>
        <w:ind w:left="0"/>
      </w:pPr>
      <w:r>
        <w:t>Domain Paradigm registry；</w:t>
      </w:r>
    </w:p>
    <w:p>
      <w:pPr>
        <w:pStyle w:val="ListBullet"/>
        <w:ind w:left="0"/>
      </w:pPr>
      <w:r>
        <w:t>Task / Experiment / Decision engine；</w:t>
      </w:r>
    </w:p>
    <w:p>
      <w:pPr>
        <w:pStyle w:val="ListBullet"/>
        <w:ind w:left="0"/>
      </w:pPr>
      <w:r>
        <w:t>Governance review jobs；</w:t>
      </w:r>
    </w:p>
    <w:p>
      <w:pPr>
        <w:pStyle w:val="ListBullet"/>
        <w:ind w:left="0"/>
      </w:pPr>
      <w:r>
        <w:t>research card 相关 UI 与 admin console。</w:t>
      </w:r>
    </w:p>
    <w:p>
      <w:pPr>
        <w:pStyle w:val="Heading2"/>
      </w:pPr>
      <w:r>
        <w:t>阶段 D - 只在压力真实时再拆分</w:t>
      </w:r>
    </w:p>
    <w:p>
      <w:r>
        <w:t>仅在 modular monolith 已稳定之后，再考虑：</w:t>
      </w:r>
    </w:p>
    <w:p>
      <w:pPr>
        <w:pStyle w:val="ListBullet"/>
        <w:ind w:left="0"/>
      </w:pPr>
      <w:r>
        <w:t>当异步负载足够大时拆 worker runtime；</w:t>
      </w:r>
    </w:p>
    <w:p>
      <w:pPr>
        <w:pStyle w:val="ListBullet"/>
        <w:ind w:left="0"/>
      </w:pPr>
      <w:r>
        <w:t>当评测成本足够高时拆 harness runner；</w:t>
      </w:r>
    </w:p>
    <w:p>
      <w:pPr>
        <w:pStyle w:val="ListBullet"/>
        <w:ind w:left="0"/>
      </w:pPr>
      <w:r>
        <w:t>当治理 UI 足够复杂时拆 console app。</w:t>
      </w:r>
    </w:p>
    <w:p>
      <w:pPr>
        <w:pStyle w:val="Heading1"/>
      </w:pPr>
      <w:r>
        <w:t>8. 给 Codex 的实施指引</w:t>
      </w:r>
    </w:p>
    <w:p>
      <w:r>
        <w:t>Codex 在实现时应遵循：</w:t>
      </w:r>
    </w:p>
    <w:p>
      <w:pPr>
        <w:pStyle w:val="ListBullet"/>
        <w:ind w:left="0"/>
      </w:pPr>
      <w:r>
        <w:t>第一轮优先“新增 package”，而不是大规模 destructive move；</w:t>
      </w:r>
    </w:p>
    <w:p>
      <w:pPr>
        <w:pStyle w:val="ListBullet"/>
        <w:ind w:left="0"/>
      </w:pPr>
      <w:r>
        <w:t>保持现有 router 继续可用，在其背后引入新 service；</w:t>
      </w:r>
    </w:p>
    <w:p>
      <w:pPr>
        <w:pStyle w:val="ListBullet"/>
        <w:ind w:left="0"/>
      </w:pPr>
      <w:r>
        <w:t>深度重构前先写 migration shim；</w:t>
      </w:r>
    </w:p>
    <w:p>
      <w:pPr>
        <w:pStyle w:val="ListBullet"/>
        <w:ind w:left="0"/>
      </w:pPr>
      <w:r>
        <w:t>保留并扩展现有测试；</w:t>
      </w:r>
    </w:p>
    <w:p>
      <w:pPr>
        <w:pStyle w:val="ListBullet"/>
        <w:ind w:left="0"/>
      </w:pPr>
      <w:r>
        <w:t>大 workflow 变化前先落 schema-first 契约。</w:t>
      </w:r>
    </w:p>
    <w:p>
      <w:r>
        <w:t>推荐的第一波顺序是：</w:t>
      </w:r>
    </w:p>
    <w:p>
      <w:pPr>
        <w:pStyle w:val="ListNumber"/>
      </w:pPr>
      <w:r>
        <w:t>在 `services/api` 或新的 `packages/` 下创建 `schemas/`、`objects/`、`workflow/`、`governance/`；</w:t>
      </w:r>
    </w:p>
    <w:p>
      <w:pPr>
        <w:pStyle w:val="ListNumber"/>
      </w:pPr>
      <w:r>
        <w:t>用 service interface 包裹现有 feed 与 knowledge 模块；</w:t>
      </w:r>
    </w:p>
    <w:p>
      <w:pPr>
        <w:pStyle w:val="ListNumber"/>
      </w:pPr>
      <w:r>
        <w:t>让 routers 依赖 service interface，而不是直接落本地实现逻辑；</w:t>
      </w:r>
    </w:p>
    <w:p>
      <w:pPr>
        <w:pStyle w:val="ListNumber"/>
      </w:pPr>
      <w:r>
        <w:t>增加第一批 harness artifact 与 governance review record；</w:t>
      </w:r>
    </w:p>
    <w:p>
      <w:pPr>
        <w:pStyle w:val="ListNumber"/>
      </w:pPr>
      <w:r>
        <w:t>合同稳定后，再补 UI 视图。</w:t>
      </w:r>
    </w:p>
    <w:p>
      <w:pPr>
        <w:pStyle w:val="Heading1"/>
      </w:pPr>
      <w:r>
        <w:t>9. 成功标准</w:t>
      </w:r>
    </w:p>
    <w:p>
      <w:r>
        <w:t>本文档的成功标准，是让 Codex 开始 coding 时能同时满足三件事：</w:t>
      </w:r>
    </w:p>
    <w:p>
      <w:pPr>
        <w:pStyle w:val="ListBullet"/>
        <w:ind w:left="0"/>
      </w:pPr>
      <w:r>
        <w:t>不按 greenfield rewrite 处理；</w:t>
      </w:r>
    </w:p>
    <w:p>
      <w:pPr>
        <w:pStyle w:val="ListBullet"/>
        <w:ind w:left="0"/>
      </w:pPr>
      <w:r>
        <w:t>不退回到 router-centric 逻辑堆积；</w:t>
      </w:r>
    </w:p>
    <w:p>
      <w:pPr>
        <w:pStyle w:val="ListBullet"/>
        <w:ind w:left="0"/>
      </w:pPr>
      <w:r>
        <w:t>不破坏当前已经可运行的骨架。</w:t>
      </w:r>
    </w:p>
    <w:p>
      <w:r>
        <w:t>最终目标不是另起一个新项目，而是让 MyAttention 通过显式契约、共享对象、治理闭环与 harness 驱动，逐步演进为 IKE。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6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