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60" w:after="160"/>
        <w:jc w:val="center"/>
        <w:rPr/>
      </w:pPr>
      <w:r>
        <w:rPr>
          <w:rFonts w:eastAsia="Calibri"/>
          <w:b/>
          <w:color w:val="1F4E79"/>
          <w:sz w:val="22"/>
        </w:rPr>
        <w:t>LOOP NOPAL SOLUTIONS</w:t>
      </w:r>
    </w:p>
    <w:p>
      <w:pPr>
        <w:pStyle w:val="Normal"/>
        <w:spacing w:before="0" w:after="200"/>
        <w:jc w:val="center"/>
        <w:rPr/>
      </w:pPr>
      <w:r>
        <w:rPr>
          <w:rFonts w:eastAsia="Calibri"/>
          <w:b/>
          <w:color w:val="1F4E79"/>
          <w:sz w:val="56"/>
        </w:rPr>
        <w:t>PROPUESTA TÉCNICA ACTUALIZADA</w:t>
      </w:r>
    </w:p>
    <w:p>
      <w:pPr>
        <w:pStyle w:val="Normal"/>
        <w:spacing w:before="0" w:after="80"/>
        <w:jc w:val="center"/>
        <w:rPr/>
      </w:pPr>
      <w:r>
        <w:rPr>
          <w:rFonts w:eastAsia="Calibri"/>
          <w:b/>
          <w:color w:val="1F1F1F"/>
          <w:sz w:val="34"/>
        </w:rPr>
        <w:t>Piloto de control semafórico adaptativo</w:t>
      </w:r>
    </w:p>
    <w:p>
      <w:pPr>
        <w:pStyle w:val="Normal"/>
        <w:spacing w:before="0" w:after="680"/>
        <w:jc w:val="center"/>
        <w:rPr/>
      </w:pPr>
      <w:r>
        <w:rPr>
          <w:rFonts w:eastAsia="Calibri"/>
          <w:i/>
          <w:color w:val="4F5B66"/>
          <w:sz w:val="26"/>
        </w:rPr>
        <w:t>Municipio de Querétaro</w:t>
      </w:r>
    </w:p>
    <w:tbl>
      <w:tblPr>
        <w:tblStyle w:val="TableGrid"/>
        <w:tblW w:w="9994" w:type="dxa"/>
        <w:jc w:val="left"/>
        <w:tblInd w:w="132" w:type="dxa"/>
        <w:tblLayout w:type="fixed"/>
        <w:tblCellMar>
          <w:top w:w="80" w:type="dxa"/>
          <w:left w:w="120" w:type="dxa"/>
          <w:bottom w:w="80" w:type="dxa"/>
          <w:right w:w="120" w:type="dxa"/>
        </w:tblCellMar>
        <w:tblLook w:firstRow="1" w:noVBand="1" w:lastRow="0" w:firstColumn="1" w:lastColumn="0" w:noHBand="0" w:val="04a0"/>
      </w:tblPr>
      <w:tblGrid>
        <w:gridCol w:w="1799"/>
        <w:gridCol w:w="8194"/>
      </w:tblGrid>
      <w:tr>
        <w:trPr/>
        <w:tc>
          <w:tcPr>
            <w:tcW w:w="1799" w:type="dxa"/>
            <w:tcBorders>
              <w:top w:val="single" w:sz="4" w:space="0" w:color="B4C7DC"/>
              <w:left w:val="single" w:sz="4" w:space="0" w:color="B4C7DC"/>
              <w:bottom w:val="single" w:sz="4" w:space="0" w:color="B4C7DC"/>
              <w:right w:val="single" w:sz="4" w:space="0" w:color="B4C7DC"/>
            </w:tcBorders>
            <w:vAlign w:val="center"/>
          </w:tcPr>
          <w:p>
            <w:pPr>
              <w:pStyle w:val="Normal"/>
              <w:widowControl/>
              <w:spacing w:lineRule="auto" w:line="244" w:before="0" w:after="0"/>
              <w:jc w:val="left"/>
              <w:rPr>
                <w:rFonts w:cs=""/>
                <w:kern w:val="0"/>
                <w:szCs w:val="22"/>
                <w:lang w:eastAsia="en-US" w:bidi="ar-SA"/>
              </w:rPr>
            </w:pPr>
            <w:r>
              <w:rPr>
                <w:rFonts w:eastAsia="Calibri" w:cs=""/>
                <w:b/>
                <w:color w:val="17365D"/>
                <w:kern w:val="0"/>
                <w:sz w:val="20"/>
                <w:szCs w:val="22"/>
                <w:lang w:eastAsia="en-US" w:bidi="ar-SA"/>
              </w:rPr>
              <w:t>Presentado a</w:t>
            </w:r>
          </w:p>
        </w:tc>
        <w:tc>
          <w:tcPr>
            <w:tcW w:w="8194" w:type="dxa"/>
            <w:tcBorders>
              <w:top w:val="single" w:sz="4" w:space="0" w:color="B4C7DC"/>
              <w:left w:val="single" w:sz="4" w:space="0" w:color="B4C7DC"/>
              <w:bottom w:val="single" w:sz="4" w:space="0" w:color="B4C7DC"/>
              <w:right w:val="single" w:sz="4" w:space="0" w:color="B4C7DC"/>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20"/>
                <w:szCs w:val="22"/>
                <w:lang w:eastAsia="en-US" w:bidi="ar-SA"/>
              </w:rPr>
              <w:t>Secretaría de Movilidad - Dirección de Gestión para la Movilidad</w:t>
            </w:r>
          </w:p>
        </w:tc>
      </w:tr>
      <w:tr>
        <w:trPr/>
        <w:tc>
          <w:tcPr>
            <w:tcW w:w="1799" w:type="dxa"/>
            <w:tcBorders>
              <w:top w:val="single" w:sz="4" w:space="0" w:color="B4C7DC"/>
              <w:left w:val="single" w:sz="4" w:space="0" w:color="B4C7DC"/>
              <w:bottom w:val="single" w:sz="4" w:space="0" w:color="B4C7DC"/>
              <w:right w:val="single" w:sz="4" w:space="0" w:color="B4C7DC"/>
            </w:tcBorders>
            <w:vAlign w:val="center"/>
          </w:tcPr>
          <w:p>
            <w:pPr>
              <w:pStyle w:val="Normal"/>
              <w:widowControl/>
              <w:spacing w:lineRule="auto" w:line="244" w:before="0" w:after="0"/>
              <w:jc w:val="left"/>
              <w:rPr>
                <w:rFonts w:cs=""/>
                <w:kern w:val="0"/>
                <w:szCs w:val="22"/>
                <w:lang w:eastAsia="en-US" w:bidi="ar-SA"/>
              </w:rPr>
            </w:pPr>
            <w:r>
              <w:rPr>
                <w:rFonts w:eastAsia="Calibri" w:cs=""/>
                <w:b/>
                <w:color w:val="17365D"/>
                <w:kern w:val="0"/>
                <w:sz w:val="20"/>
                <w:szCs w:val="22"/>
                <w:lang w:eastAsia="en-US" w:bidi="ar-SA"/>
              </w:rPr>
              <w:t>Equipo proponente</w:t>
            </w:r>
          </w:p>
        </w:tc>
        <w:tc>
          <w:tcPr>
            <w:tcW w:w="8194" w:type="dxa"/>
            <w:tcBorders>
              <w:top w:val="single" w:sz="4" w:space="0" w:color="B4C7DC"/>
              <w:left w:val="single" w:sz="4" w:space="0" w:color="B4C7DC"/>
              <w:bottom w:val="single" w:sz="4" w:space="0" w:color="B4C7DC"/>
              <w:right w:val="single" w:sz="4" w:space="0" w:color="B4C7DC"/>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20"/>
                <w:szCs w:val="22"/>
                <w:lang w:eastAsia="en-US" w:bidi="ar-SA"/>
              </w:rPr>
              <w:t>Loop Nopal Solutions (nombre comercial; personalidad jurídica por acreditar)</w:t>
            </w:r>
          </w:p>
        </w:tc>
      </w:tr>
      <w:tr>
        <w:trPr/>
        <w:tc>
          <w:tcPr>
            <w:tcW w:w="1799" w:type="dxa"/>
            <w:tcBorders>
              <w:top w:val="single" w:sz="4" w:space="0" w:color="B4C7DC"/>
              <w:left w:val="single" w:sz="4" w:space="0" w:color="B4C7DC"/>
              <w:bottom w:val="single" w:sz="4" w:space="0" w:color="B4C7DC"/>
              <w:right w:val="single" w:sz="4" w:space="0" w:color="B4C7DC"/>
            </w:tcBorders>
            <w:vAlign w:val="center"/>
          </w:tcPr>
          <w:p>
            <w:pPr>
              <w:pStyle w:val="Normal"/>
              <w:widowControl/>
              <w:spacing w:lineRule="auto" w:line="244" w:before="0" w:after="0"/>
              <w:jc w:val="left"/>
              <w:rPr>
                <w:rFonts w:cs=""/>
                <w:kern w:val="0"/>
                <w:szCs w:val="22"/>
                <w:lang w:eastAsia="en-US" w:bidi="ar-SA"/>
              </w:rPr>
            </w:pPr>
            <w:r>
              <w:rPr>
                <w:rFonts w:eastAsia="Calibri" w:cs=""/>
                <w:b/>
                <w:color w:val="17365D"/>
                <w:kern w:val="0"/>
                <w:sz w:val="20"/>
                <w:szCs w:val="22"/>
                <w:lang w:eastAsia="en-US" w:bidi="ar-SA"/>
              </w:rPr>
              <w:t>Responsable</w:t>
            </w:r>
          </w:p>
        </w:tc>
        <w:tc>
          <w:tcPr>
            <w:tcW w:w="8194" w:type="dxa"/>
            <w:tcBorders>
              <w:top w:val="single" w:sz="4" w:space="0" w:color="B4C7DC"/>
              <w:left w:val="single" w:sz="4" w:space="0" w:color="B4C7DC"/>
              <w:bottom w:val="single" w:sz="4" w:space="0" w:color="B4C7DC"/>
              <w:right w:val="single" w:sz="4" w:space="0" w:color="B4C7DC"/>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20"/>
                <w:szCs w:val="22"/>
                <w:lang w:eastAsia="en-US" w:bidi="ar-SA"/>
              </w:rPr>
              <w:t>Oscar Brandon Lara López</w:t>
            </w:r>
          </w:p>
        </w:tc>
      </w:tr>
      <w:tr>
        <w:trPr/>
        <w:tc>
          <w:tcPr>
            <w:tcW w:w="1799" w:type="dxa"/>
            <w:tcBorders>
              <w:top w:val="single" w:sz="4" w:space="0" w:color="B4C7DC"/>
              <w:left w:val="single" w:sz="4" w:space="0" w:color="B4C7DC"/>
              <w:bottom w:val="single" w:sz="4" w:space="0" w:color="B4C7DC"/>
              <w:right w:val="single" w:sz="4" w:space="0" w:color="B4C7DC"/>
            </w:tcBorders>
            <w:vAlign w:val="center"/>
          </w:tcPr>
          <w:p>
            <w:pPr>
              <w:pStyle w:val="Normal"/>
              <w:widowControl/>
              <w:spacing w:lineRule="auto" w:line="244" w:before="0" w:after="0"/>
              <w:jc w:val="left"/>
              <w:rPr>
                <w:rFonts w:cs=""/>
                <w:kern w:val="0"/>
                <w:szCs w:val="22"/>
                <w:lang w:eastAsia="en-US" w:bidi="ar-SA"/>
              </w:rPr>
            </w:pPr>
            <w:r>
              <w:rPr>
                <w:rFonts w:eastAsia="Calibri" w:cs=""/>
                <w:b/>
                <w:color w:val="17365D"/>
                <w:kern w:val="0"/>
                <w:sz w:val="20"/>
                <w:szCs w:val="22"/>
                <w:lang w:eastAsia="en-US" w:bidi="ar-SA"/>
              </w:rPr>
              <w:t>Sitio</w:t>
            </w:r>
          </w:p>
        </w:tc>
        <w:tc>
          <w:tcPr>
            <w:tcW w:w="8194" w:type="dxa"/>
            <w:tcBorders>
              <w:top w:val="single" w:sz="4" w:space="0" w:color="B4C7DC"/>
              <w:left w:val="single" w:sz="4" w:space="0" w:color="B4C7DC"/>
              <w:bottom w:val="single" w:sz="4" w:space="0" w:color="B4C7DC"/>
              <w:right w:val="single" w:sz="4" w:space="0" w:color="B4C7DC"/>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20"/>
                <w:szCs w:val="22"/>
                <w:lang w:eastAsia="en-US" w:bidi="ar-SA"/>
              </w:rPr>
              <w:t>https://simulation.loopnopalsolutions.xyz/</w:t>
            </w:r>
          </w:p>
        </w:tc>
      </w:tr>
      <w:tr>
        <w:trPr/>
        <w:tc>
          <w:tcPr>
            <w:tcW w:w="1799" w:type="dxa"/>
            <w:tcBorders>
              <w:top w:val="single" w:sz="4" w:space="0" w:color="B4C7DC"/>
              <w:left w:val="single" w:sz="4" w:space="0" w:color="B4C7DC"/>
              <w:bottom w:val="single" w:sz="4" w:space="0" w:color="B4C7DC"/>
              <w:right w:val="single" w:sz="4" w:space="0" w:color="B4C7DC"/>
            </w:tcBorders>
            <w:vAlign w:val="center"/>
          </w:tcPr>
          <w:p>
            <w:pPr>
              <w:pStyle w:val="Normal"/>
              <w:widowControl/>
              <w:spacing w:lineRule="auto" w:line="244" w:before="0" w:after="0"/>
              <w:jc w:val="left"/>
              <w:rPr>
                <w:rFonts w:cs=""/>
                <w:kern w:val="0"/>
                <w:szCs w:val="22"/>
                <w:lang w:eastAsia="en-US" w:bidi="ar-SA"/>
              </w:rPr>
            </w:pPr>
            <w:r>
              <w:rPr>
                <w:rFonts w:eastAsia="Calibri" w:cs=""/>
                <w:b/>
                <w:color w:val="17365D"/>
                <w:kern w:val="0"/>
                <w:sz w:val="20"/>
                <w:szCs w:val="22"/>
                <w:lang w:eastAsia="en-US" w:bidi="ar-SA"/>
              </w:rPr>
              <w:t>Fecha</w:t>
            </w:r>
          </w:p>
        </w:tc>
        <w:tc>
          <w:tcPr>
            <w:tcW w:w="8194" w:type="dxa"/>
            <w:tcBorders>
              <w:top w:val="single" w:sz="4" w:space="0" w:color="B4C7DC"/>
              <w:left w:val="single" w:sz="4" w:space="0" w:color="B4C7DC"/>
              <w:bottom w:val="single" w:sz="4" w:space="0" w:color="B4C7DC"/>
              <w:right w:val="single" w:sz="4" w:space="0" w:color="B4C7DC"/>
            </w:tcBorders>
            <w:vAlign w:val="center"/>
          </w:tcPr>
          <w:p>
            <w:r>
              <w:rPr>
                <w:color w:val="1F1F1F"/>
                <w:sz w:val="20"/>
              </w:rPr>
              <w:t>Julio-agosto de 2026</w:t>
            </w:r>
          </w:p>
        </w:tc>
      </w:tr>
    </w:tbl>
    <w:p>
      <w:pPr>
        <w:pStyle w:val="Normal"/>
        <w:spacing w:before="360" w:after="0"/>
        <w:jc w:val="center"/>
        <w:rPr/>
      </w:pPr>
      <w:r>
        <w:rPr>
          <w:rFonts w:eastAsia="Calibri"/>
          <w:b/>
          <w:color w:val="1F4E79"/>
          <w:sz w:val="19"/>
        </w:rPr>
        <w:t>VERSIÓN PÚBLICA</w:t>
      </w:r>
    </w:p>
    <w:p>
      <w:pPr>
        <w:pStyle w:val="Normal"/>
        <w:spacing w:before="0" w:after="0"/>
        <w:jc w:val="center"/>
        <w:rPr/>
      </w:pPr>
      <w:r>
        <w:rPr>
          <w:rFonts w:eastAsia="Calibri"/>
          <w:i/>
          <w:color w:val="4F5B66"/>
          <w:sz w:val="18"/>
        </w:rPr>
        <w:t>No contiene arquitectura detallada, código fuente, credenciales ni lista de componentes.</w:t>
      </w:r>
    </w:p>
    <w:p>
      <w:pPr>
        <w:pStyle w:val="Normal"/>
        <w:rPr/>
      </w:pPr>
      <w:r>
        <w:rPr/>
      </w:r>
      <w:r>
        <w:br w:type="page"/>
      </w:r>
    </w:p>
    <w:p>
      <w:pPr>
        <w:pStyle w:val="Heading1"/>
        <w:rPr/>
      </w:pPr>
      <w:r>
        <w:rPr/>
        <w:t>1. Resumen ejecutivo</w:t>
      </w:r>
    </w:p>
    <w:p>
      <w:pPr>
        <w:pStyle w:val="Normal"/>
        <w:rPr/>
      </w:pPr>
      <w:r>
        <w:rPr>
          <w:rFonts w:eastAsia="Calibri"/>
          <w:i w:val="false"/>
          <w:color w:val="1F1F1F"/>
          <w:sz w:val="21"/>
        </w:rPr>
        <w:t>Se propone un piloto controlado de optimización semafórica en tres intersecciones del Municipio de Querétaro, seleccionadas en conjunto con la Secretaría de Movilidad. El objetivo es medir el desempeño actual, diseñar planes de temporización basados en datos, validarlos primero en simulación y, únicamente con autorización municipal, efectuar una implementación gradual y reversible.</w:t>
      </w:r>
    </w:p>
    <w:p>
      <w:pPr>
        <w:pStyle w:val="Normal"/>
        <w:rPr/>
      </w:pPr>
      <w:r>
        <w:rPr>
          <w:rFonts w:eastAsia="Calibri"/>
          <w:i w:val="false"/>
          <w:color w:val="1F1F1F"/>
          <w:sz w:val="21"/>
        </w:rPr>
        <w:t>La cifra pública disponible señala 296 intersecciones semaforizadas en el municipio. La misma declaración oficial, difundida el 25 de junio de 2025, indicó que la modernización municipal comenzaría en diez vialidades primarias y que todavía no se habían definido fecha de arranque ni monto de inversión [1]. Por ello, esta propuesta no presume una contratación, un proveedor municipal ni una fecha de ejecución ya autorizada.</w:t>
      </w:r>
    </w:p>
    <w:p>
      <w:pPr>
        <w:pStyle w:val="Normal"/>
        <w:rPr/>
      </w:pPr>
      <w:r>
        <w:rPr>
          <w:rFonts w:eastAsia="Calibri"/>
          <w:i w:val="false"/>
          <w:color w:val="1F1F1F"/>
          <w:sz w:val="21"/>
        </w:rPr>
        <w:t>El piloto no garantiza por anticipado un porcentaje de mejora ni pretende cubrir entre 80% y 100% de la red en doce meses. La mejora se determinará mediante comparación antes-después, con indicadores acordados y datos equivalentes por horario. El resultado principal será un expediente técnico para decidir, con evidencia, si conviene escalar y bajo qué costo unitario, prioridad y modalidad de contratación.</w:t>
      </w:r>
    </w:p>
    <w:p>
      <w:pPr>
        <w:spacing w:before="120" w:after="160"/>
        <w:shd w:fill="EAF0F6"/>
        <w:pBdr>
          <w:left w:val="single" w:sz="18" w:space="6" w:color="17365D"/>
        </w:pBdr>
      </w:pPr>
      <w:r>
        <w:rPr>
          <w:color w:val="17365D"/>
          <w:sz w:val="18"/>
        </w:rPr>
        <w:t>Como antecedente metodológico, la prueba de concepto arrojó, bajo sus supuestos simulados, una reducción de 42% en la cola promedio, 44 segundos menos de espera estimada por vehículo y 34% menos tiempo acumulado en congestión alta o saturada. Estas cifras orientan la hipótesis del piloto, pero no representan resultados de campo ni una garantía contractual.</w:t>
      </w:r>
    </w:p>
    <w:p>
      <w:pPr>
        <w:pStyle w:val="Heading1"/>
        <w:rPr/>
      </w:pPr>
      <w:r>
        <w:rPr/>
        <w:t>2. Antecedentes y definición del problema</w:t>
      </w:r>
    </w:p>
    <w:p>
      <w:pPr>
        <w:pStyle w:val="Normal"/>
        <w:rPr/>
      </w:pPr>
      <w:r>
        <w:rPr>
          <w:rFonts w:eastAsia="Calibri"/>
          <w:i w:val="false"/>
          <w:color w:val="1F1F1F"/>
          <w:sz w:val="21"/>
        </w:rPr>
        <w:t>La Dirección de Gestión para la Movilidad administra el sistema municipal de semaforización y tiene entre sus funciones realizar análisis y estudios para optimizarlo y mantenerlo [2]. La propuesta se plantea como apoyo técnico a esa función, no como sustitución de la autoridad ni de los procedimientos institucionales.</w:t>
      </w:r>
    </w:p>
    <w:p>
      <w:pPr>
        <w:pStyle w:val="Normal"/>
        <w:rPr/>
      </w:pPr>
      <w:r>
        <w:rPr>
          <w:rFonts w:eastAsia="Calibri"/>
          <w:i w:val="false"/>
          <w:color w:val="1F1F1F"/>
          <w:sz w:val="21"/>
        </w:rPr>
        <w:t>El diagnóstico inicial se limita a problemas verificables en campo:</w:t>
      </w:r>
    </w:p>
    <w:p>
      <w:pPr>
        <w:pStyle w:val="ListBullet"/>
        <w:numPr>
          <w:ilvl w:val="0"/>
          <w:numId w:val="1"/>
        </w:numPr>
        <w:ind w:left="360" w:hanging="259"/>
        <w:rPr/>
      </w:pPr>
      <w:r>
        <w:rPr>
          <w:rFonts w:eastAsia="Calibri"/>
          <w:color w:val="1F1F1F"/>
          <w:sz w:val="21"/>
        </w:rPr>
        <w:t>Planes de tiempo fijo o desactualizados frente a variaciones de demanda por hora y día.</w:t>
      </w:r>
    </w:p>
    <w:p>
      <w:pPr>
        <w:pStyle w:val="ListBullet"/>
        <w:numPr>
          <w:ilvl w:val="0"/>
          <w:numId w:val="1"/>
        </w:numPr>
        <w:ind w:left="360" w:hanging="259"/>
        <w:rPr/>
      </w:pPr>
      <w:r>
        <w:rPr>
          <w:rFonts w:eastAsia="Calibri"/>
          <w:color w:val="1F1F1F"/>
          <w:sz w:val="21"/>
        </w:rPr>
        <w:t>Demoras, colas y detenciones recurrentes en corredores prioritarios, que deberán comprobarse con aforos y tiempos de recorrido.</w:t>
      </w:r>
    </w:p>
    <w:p>
      <w:pPr>
        <w:pStyle w:val="ListBullet"/>
        <w:numPr>
          <w:ilvl w:val="0"/>
          <w:numId w:val="1"/>
        </w:numPr>
        <w:ind w:left="360" w:hanging="259"/>
        <w:rPr/>
      </w:pPr>
      <w:r>
        <w:rPr>
          <w:rFonts w:eastAsia="Calibri"/>
          <w:color w:val="1F1F1F"/>
          <w:sz w:val="21"/>
        </w:rPr>
        <w:t>Necesidad de continuidad operativa ante fallas de suministro eléctrico. La declaración pública de junio de 2025 atribuyó 90% de las fallas reportadas a interrupciones de energía y planteó respaldo de tres a cinco horas; este dato se usará sólo como antecedente sujeto a validación municipal [1].</w:t>
      </w:r>
    </w:p>
    <w:p>
      <w:pPr>
        <w:pStyle w:val="ListBullet"/>
        <w:numPr>
          <w:ilvl w:val="0"/>
          <w:numId w:val="1"/>
        </w:numPr>
        <w:ind w:left="360" w:hanging="259"/>
        <w:rPr/>
      </w:pPr>
      <w:r>
        <w:rPr>
          <w:rFonts w:eastAsia="Calibri"/>
          <w:color w:val="1F1F1F"/>
          <w:sz w:val="21"/>
        </w:rPr>
        <w:t>Falta de una línea base común que permita comparar, con el mismo método, el desempeño antes y después de cualquier ajuste.</w:t>
      </w:r>
    </w:p>
    <w:p>
      <w:pPr>
        <w:pStyle w:val="Normal"/>
        <w:rPr/>
      </w:pPr>
      <w:r>
        <w:rPr>
          <w:rFonts w:eastAsia="Calibri"/>
          <w:i w:val="false"/>
          <w:color w:val="1F1F1F"/>
          <w:sz w:val="21"/>
        </w:rPr>
        <w:t>Como referencia nacional, el IMCO y SinTráfico estimaron en 2019 un costo anual de 94 mil millones de pesos por congestión en 32 ciudades mexicanas [6]. Esta cifra no corresponde exclusivamente a Querétaro y se presenta únicamente como contexto nacional.</w:t>
      </w:r>
    </w:p>
    <w:p>
      <w:pPr>
        <w:pStyle w:val="Heading1"/>
        <w:rPr/>
      </w:pPr>
      <w:r>
        <w:rPr/>
        <w:t>3. Objetivo y alcance del piloto</w:t>
      </w:r>
    </w:p>
    <w:p>
      <w:pPr>
        <w:pStyle w:val="Heading2"/>
        <w:rPr/>
      </w:pPr>
      <w:r>
        <w:rPr/>
        <w:t>3.1 Objetivo general</w:t>
      </w:r>
    </w:p>
    <w:p>
      <w:pPr>
        <w:pStyle w:val="Normal"/>
        <w:rPr/>
      </w:pPr>
      <w:r>
        <w:rPr>
          <w:rFonts w:eastAsia="Calibri"/>
          <w:i w:val="false"/>
          <w:color w:val="1F1F1F"/>
          <w:sz w:val="21"/>
        </w:rPr>
        <w:t>Diseñar, probar y evaluar una metodología de ajuste semafórico para tres intersecciones, con trazabilidad de datos, criterios de seguridad operacional y un plan de escalamiento sujeto a resultados.</w:t>
      </w:r>
    </w:p>
    <w:p>
      <w:pPr>
        <w:pStyle w:val="Heading2"/>
        <w:rPr/>
      </w:pPr>
      <w:r>
        <w:rPr/>
        <w:t>3.2 Alcance incluido</w:t>
      </w:r>
    </w:p>
    <w:p>
      <w:pPr>
        <w:pStyle w:val="ListBullet"/>
        <w:numPr>
          <w:ilvl w:val="0"/>
          <w:numId w:val="1"/>
        </w:numPr>
        <w:ind w:left="360" w:hanging="259"/>
        <w:rPr/>
      </w:pPr>
      <w:r>
        <w:rPr>
          <w:rFonts w:eastAsia="Calibri"/>
          <w:color w:val="1F1F1F"/>
          <w:sz w:val="21"/>
        </w:rPr>
        <w:t>Inventario técnico y operativo de las tres intersecciones piloto, elaborado con personal municipal.</w:t>
      </w:r>
    </w:p>
    <w:p>
      <w:pPr>
        <w:pStyle w:val="ListBullet"/>
        <w:numPr>
          <w:ilvl w:val="0"/>
          <w:numId w:val="1"/>
        </w:numPr>
        <w:ind w:left="360" w:hanging="259"/>
        <w:rPr/>
      </w:pPr>
      <w:r>
        <w:rPr>
          <w:rFonts w:eastAsia="Calibri"/>
          <w:color w:val="1F1F1F"/>
          <w:sz w:val="21"/>
        </w:rPr>
        <w:t>Aforos, tiempos de recorrido, colas, detenciones y condiciones de operación en periodos pico y valle.</w:t>
      </w:r>
    </w:p>
    <w:p>
      <w:pPr>
        <w:pStyle w:val="ListBullet"/>
        <w:numPr>
          <w:ilvl w:val="0"/>
          <w:numId w:val="1"/>
        </w:numPr>
        <w:ind w:left="360" w:hanging="259"/>
        <w:rPr/>
      </w:pPr>
      <w:r>
        <w:rPr>
          <w:rFonts w:eastAsia="Calibri"/>
          <w:color w:val="1F1F1F"/>
          <w:sz w:val="21"/>
        </w:rPr>
        <w:t>Modelo de simulación y propuestas de temporización por intersección y corredor.</w:t>
      </w:r>
    </w:p>
    <w:p>
      <w:pPr>
        <w:pStyle w:val="ListBullet"/>
        <w:numPr>
          <w:ilvl w:val="0"/>
          <w:numId w:val="1"/>
        </w:numPr>
        <w:ind w:left="360" w:hanging="259"/>
        <w:rPr/>
      </w:pPr>
      <w:r>
        <w:rPr>
          <w:rFonts w:eastAsia="Calibri"/>
          <w:color w:val="1F1F1F"/>
          <w:sz w:val="21"/>
        </w:rPr>
        <w:t>Prueba controlada, reversible y autorizada; no se modificará infraestructura activa sin visto bueno institucional.</w:t>
      </w:r>
    </w:p>
    <w:p>
      <w:pPr>
        <w:pStyle w:val="ListBullet"/>
        <w:numPr>
          <w:ilvl w:val="0"/>
          <w:numId w:val="1"/>
        </w:numPr>
        <w:ind w:left="360" w:hanging="259"/>
        <w:rPr/>
      </w:pPr>
      <w:r>
        <w:rPr>
          <w:rFonts w:eastAsia="Calibri"/>
          <w:color w:val="1F1F1F"/>
          <w:sz w:val="21"/>
        </w:rPr>
        <w:t>Monitoreo, comparación antes-después, bitácora de cambios y reporte de resultados.</w:t>
      </w:r>
    </w:p>
    <w:p>
      <w:pPr>
        <w:pStyle w:val="ListBullet"/>
        <w:numPr>
          <w:ilvl w:val="0"/>
          <w:numId w:val="1"/>
        </w:numPr>
        <w:ind w:left="360" w:hanging="259"/>
        <w:rPr/>
      </w:pPr>
      <w:r>
        <w:rPr>
          <w:rFonts w:eastAsia="Calibri"/>
          <w:color w:val="1F1F1F"/>
          <w:sz w:val="21"/>
        </w:rPr>
        <w:t>Plan de escalamiento con prioridades, riesgos, requerimientos y costo unitario referencial.</w:t>
      </w:r>
    </w:p>
    <w:p>
      <w:pPr>
        <w:pStyle w:val="Heading2"/>
        <w:rPr/>
      </w:pPr>
      <w:r>
        <w:rPr/>
        <w:t>3.3 Fuera de alcance en esta etapa</w:t>
      </w:r>
    </w:p>
    <w:p>
      <w:pPr>
        <w:pStyle w:val="ListBullet"/>
        <w:numPr>
          <w:ilvl w:val="0"/>
          <w:numId w:val="1"/>
        </w:numPr>
        <w:ind w:left="360" w:hanging="259"/>
        <w:rPr/>
      </w:pPr>
      <w:r>
        <w:rPr>
          <w:rFonts w:eastAsia="Calibri"/>
          <w:color w:val="1F1F1F"/>
          <w:sz w:val="21"/>
        </w:rPr>
        <w:t xml:space="preserve">Despliegue en las </w:t>
      </w:r>
      <w:r>
        <w:rPr>
          <w:rFonts w:eastAsia="Calibri"/>
          <w:color w:val="1F1F1F"/>
          <w:sz w:val="21"/>
        </w:rPr>
        <w:t>principales</w:t>
      </w:r>
      <w:r>
        <w:rPr>
          <w:rFonts w:eastAsia="Calibri"/>
          <w:color w:val="1F1F1F"/>
          <w:sz w:val="21"/>
        </w:rPr>
        <w:t xml:space="preserve"> intersecciones de la red.</w:t>
      </w:r>
    </w:p>
    <w:p>
      <w:pPr>
        <w:pStyle w:val="ListBullet"/>
        <w:numPr>
          <w:ilvl w:val="0"/>
          <w:numId w:val="1"/>
        </w:numPr>
        <w:ind w:left="360" w:hanging="259"/>
        <w:rPr/>
      </w:pPr>
      <w:r>
        <w:rPr>
          <w:rFonts w:eastAsia="Calibri"/>
          <w:color w:val="1F1F1F"/>
          <w:sz w:val="21"/>
        </w:rPr>
        <w:t>Promesa previa de ahorro de tiempo, porcentaje de mejora o número de beneficiarios únicos.</w:t>
      </w:r>
    </w:p>
    <w:p>
      <w:pPr>
        <w:pStyle w:val="ListBullet"/>
        <w:numPr>
          <w:ilvl w:val="0"/>
          <w:numId w:val="1"/>
        </w:numPr>
        <w:ind w:left="360" w:hanging="259"/>
        <w:rPr/>
      </w:pPr>
      <w:r>
        <w:rPr>
          <w:rFonts w:eastAsia="Calibri"/>
          <w:color w:val="1F1F1F"/>
          <w:sz w:val="21"/>
        </w:rPr>
        <w:t>Acceso no autorizado a controladores, cámaras, sensores, cuentas o datos municipales.</w:t>
      </w:r>
    </w:p>
    <w:p>
      <w:pPr>
        <w:pStyle w:val="ListBullet"/>
        <w:numPr>
          <w:ilvl w:val="0"/>
          <w:numId w:val="1"/>
        </w:numPr>
        <w:ind w:left="360" w:hanging="259"/>
        <w:rPr/>
      </w:pPr>
      <w:r>
        <w:rPr>
          <w:rFonts w:eastAsia="Calibri"/>
          <w:color w:val="1F1F1F"/>
          <w:sz w:val="21"/>
        </w:rPr>
        <w:t>Divulgación pública de código fuente, arquitectura de seguridad, credenciales o lista detallada de componentes.</w:t>
      </w:r>
    </w:p>
    <w:p>
      <w:pPr>
        <w:pStyle w:val="Heading1"/>
        <w:rPr/>
      </w:pPr>
      <w:r>
        <w:rPr/>
        <w:t>4. Metodología y fuentes de datos</w:t>
      </w:r>
    </w:p>
    <w:p>
      <w:pPr>
        <w:pStyle w:val="Heading2"/>
        <w:rPr/>
      </w:pPr>
      <w:r>
        <w:rPr/>
        <w:t>4.1 Secuencia metodológica</w:t>
      </w:r>
    </w:p>
    <w:tbl>
      <w:tblPr>
        <w:tblStyle w:val="TableGrid"/>
        <w:tblW w:w="9994" w:type="dxa"/>
        <w:jc w:val="left"/>
        <w:tblInd w:w="132" w:type="dxa"/>
        <w:tblLayout w:type="fixed"/>
        <w:tblCellMar>
          <w:top w:w="80" w:type="dxa"/>
          <w:left w:w="120" w:type="dxa"/>
          <w:bottom w:w="80" w:type="dxa"/>
          <w:right w:w="120" w:type="dxa"/>
        </w:tblCellMar>
        <w:tblLook w:firstRow="1" w:noVBand="1" w:lastRow="0" w:firstColumn="1" w:lastColumn="0" w:noHBand="0" w:val="04a0"/>
      </w:tblPr>
      <w:tblGrid>
        <w:gridCol w:w="699"/>
        <w:gridCol w:w="2501"/>
        <w:gridCol w:w="6794"/>
      </w:tblGrid>
      <w:tr>
        <w:trPr>
          <w:tblHeader w:val="true"/>
          <w:tblHeader w:val="true"/>
        </w:trPr>
        <w:tc>
          <w:tcPr>
            <w:tcW w:w="699"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Fase</w:t>
            </w:r>
          </w:p>
        </w:tc>
        <w:tc>
          <w:tcPr>
            <w:tcW w:w="2501"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Nombre</w:t>
            </w:r>
          </w:p>
        </w:tc>
        <w:tc>
          <w:tcPr>
            <w:tcW w:w="6794"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Actividad principal</w:t>
            </w:r>
          </w:p>
        </w:tc>
      </w:tr>
      <w:tr>
        <w:trPr/>
        <w:tc>
          <w:tcPr>
            <w:tcW w:w="6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1</w:t>
            </w:r>
          </w:p>
        </w:tc>
        <w:tc>
          <w:tcPr>
            <w:tcW w:w="2501"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Preparación institucional</w:t>
            </w:r>
          </w:p>
        </w:tc>
        <w:tc>
          <w:tcPr>
            <w:tcW w:w="67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Definir responsables, autorizaciones, confidencialidad, cruces candidatos e inventario disponible.</w:t>
            </w:r>
          </w:p>
        </w:tc>
      </w:tr>
      <w:tr>
        <w:trPr/>
        <w:tc>
          <w:tcPr>
            <w:tcW w:w="699"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2</w:t>
            </w:r>
          </w:p>
        </w:tc>
        <w:tc>
          <w:tcPr>
            <w:tcW w:w="2501"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Línea base</w:t>
            </w:r>
          </w:p>
        </w:tc>
        <w:tc>
          <w:tcPr>
            <w:tcW w:w="6794"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Medir demanda, tiempos, colas, detenciones, incidentes y variación por horario.</w:t>
            </w:r>
          </w:p>
        </w:tc>
      </w:tr>
      <w:tr>
        <w:trPr/>
        <w:tc>
          <w:tcPr>
            <w:tcW w:w="6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3</w:t>
            </w:r>
          </w:p>
        </w:tc>
        <w:tc>
          <w:tcPr>
            <w:tcW w:w="2501"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Diseño y simulación</w:t>
            </w:r>
          </w:p>
        </w:tc>
        <w:tc>
          <w:tcPr>
            <w:tcW w:w="67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Comparar planes actuales y alternativas bajo los mismos escenarios de demanda.</w:t>
            </w:r>
          </w:p>
        </w:tc>
      </w:tr>
      <w:tr>
        <w:trPr/>
        <w:tc>
          <w:tcPr>
            <w:tcW w:w="699"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4</w:t>
            </w:r>
          </w:p>
        </w:tc>
        <w:tc>
          <w:tcPr>
            <w:tcW w:w="2501"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Piloto controlado</w:t>
            </w:r>
          </w:p>
        </w:tc>
        <w:tc>
          <w:tcPr>
            <w:tcW w:w="6794"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Aplicar únicamente los cambios autorizados, con reversión documentada y acompañamiento municipal.</w:t>
            </w:r>
          </w:p>
        </w:tc>
      </w:tr>
      <w:tr>
        <w:trPr/>
        <w:tc>
          <w:tcPr>
            <w:tcW w:w="6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5</w:t>
            </w:r>
          </w:p>
        </w:tc>
        <w:tc>
          <w:tcPr>
            <w:tcW w:w="2501"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Evaluación</w:t>
            </w:r>
          </w:p>
        </w:tc>
        <w:tc>
          <w:tcPr>
            <w:tcW w:w="67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Comparar antes-después y documentar resultados, límites, riesgos y recomendación de escala.</w:t>
            </w:r>
          </w:p>
        </w:tc>
      </w:tr>
    </w:tbl>
    <w:p>
      <w:pPr>
        <w:pStyle w:val="Heading2"/>
        <w:rPr/>
      </w:pPr>
      <w:r>
        <w:rPr/>
        <w:t>4.2 Fuentes de datos y condiciones de acceso</w:t>
      </w:r>
    </w:p>
    <w:tbl>
      <w:tblPr>
        <w:tblStyle w:val="TableGrid"/>
        <w:tblW w:w="9994" w:type="dxa"/>
        <w:jc w:val="left"/>
        <w:tblInd w:w="132" w:type="dxa"/>
        <w:tblLayout w:type="fixed"/>
        <w:tblCellMar>
          <w:top w:w="80" w:type="dxa"/>
          <w:left w:w="120" w:type="dxa"/>
          <w:bottom w:w="80" w:type="dxa"/>
          <w:right w:w="120" w:type="dxa"/>
        </w:tblCellMar>
        <w:tblLook w:firstRow="1" w:noVBand="1" w:lastRow="0" w:firstColumn="1" w:lastColumn="0" w:noHBand="0" w:val="04a0"/>
      </w:tblPr>
      <w:tblGrid>
        <w:gridCol w:w="1999"/>
        <w:gridCol w:w="3901"/>
        <w:gridCol w:w="4094"/>
      </w:tblGrid>
      <w:tr>
        <w:trPr>
          <w:tblHeader w:val="true"/>
          <w:tblHeader w:val="true"/>
        </w:trPr>
        <w:tc>
          <w:tcPr>
            <w:tcW w:w="1999"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7"/>
                <w:szCs w:val="22"/>
                <w:lang w:eastAsia="en-US" w:bidi="ar-SA"/>
              </w:rPr>
              <w:t>Fuente</w:t>
            </w:r>
          </w:p>
        </w:tc>
        <w:tc>
          <w:tcPr>
            <w:tcW w:w="3901"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7"/>
                <w:szCs w:val="22"/>
                <w:lang w:eastAsia="en-US" w:bidi="ar-SA"/>
              </w:rPr>
              <w:t>Uso previsto</w:t>
            </w:r>
          </w:p>
        </w:tc>
        <w:tc>
          <w:tcPr>
            <w:tcW w:w="4094"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7"/>
                <w:szCs w:val="22"/>
                <w:lang w:eastAsia="en-US" w:bidi="ar-SA"/>
              </w:rPr>
              <w:t>Condición / costo</w:t>
            </w:r>
          </w:p>
        </w:tc>
      </w:tr>
      <w:tr>
        <w:trPr/>
        <w:tc>
          <w:tcPr>
            <w:tcW w:w="19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Datos municipales autorizados</w:t>
            </w:r>
          </w:p>
        </w:tc>
        <w:tc>
          <w:tcPr>
            <w:tcW w:w="3901"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Planes vigentes, bitácoras, inventario, controladores, cámaras o detectores que la Secretaría confirme.</w:t>
            </w:r>
          </w:p>
        </w:tc>
        <w:tc>
          <w:tcPr>
            <w:tcW w:w="40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Sujeto a disponibilidad, permisos y calidad. No se presume que existan en todos los cruces.</w:t>
            </w:r>
          </w:p>
        </w:tc>
      </w:tr>
      <w:tr>
        <w:trPr/>
        <w:tc>
          <w:tcPr>
            <w:tcW w:w="1999"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Levantamiento en campo</w:t>
            </w:r>
          </w:p>
        </w:tc>
        <w:tc>
          <w:tcPr>
            <w:tcW w:w="3901"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Aforos, colas, tiempos de recorrido, detenciones, movimientos y eventos observables.</w:t>
            </w:r>
          </w:p>
        </w:tc>
        <w:tc>
          <w:tcPr>
            <w:tcW w:w="4094"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Incluido en la operación del piloto; se mide en periodos pico y valle.</w:t>
            </w:r>
          </w:p>
        </w:tc>
      </w:tr>
      <w:tr>
        <w:trPr/>
        <w:tc>
          <w:tcPr>
            <w:tcW w:w="19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Waze for Cities</w:t>
            </w:r>
          </w:p>
        </w:tc>
        <w:tc>
          <w:tcPr>
            <w:tcW w:w="3901"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Incidentes, congestión histórica y datos en tiempo real como fuente complementaria.</w:t>
            </w:r>
          </w:p>
        </w:tc>
        <w:tc>
          <w:tcPr>
            <w:tcW w:w="40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El programa se ofrece sin costo; requiere solicitud, correo institucional y aprobación. Incluye hasta 1 TB mensual de análisis en BigQuery sin costo [5].</w:t>
            </w:r>
          </w:p>
        </w:tc>
      </w:tr>
      <w:tr>
        <w:trPr/>
        <w:tc>
          <w:tcPr>
            <w:tcW w:w="1999"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Mapas y rutas públicas</w:t>
            </w:r>
          </w:p>
        </w:tc>
        <w:tc>
          <w:tcPr>
            <w:tcW w:w="3901"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Contexto cartográfico y preparación de recorridos.</w:t>
            </w:r>
          </w:p>
        </w:tc>
        <w:tc>
          <w:tcPr>
            <w:tcW w:w="4094"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No serán la fuente operativa principal ni se realizará extracción automatizada sin autorización.</w:t>
            </w:r>
          </w:p>
        </w:tc>
      </w:tr>
    </w:tbl>
    <w:p>
      <w:pPr>
        <w:pStyle w:val="Heading2"/>
        <w:rPr/>
      </w:pPr>
      <w:r>
        <w:rPr/>
        <w:t>4.3 Indicadores y evaluación</w:t>
      </w:r>
    </w:p>
    <w:p>
      <w:pPr>
        <w:pStyle w:val="Normal"/>
        <w:rPr/>
      </w:pPr>
      <w:r>
        <w:rPr>
          <w:rFonts w:eastAsia="Calibri"/>
          <w:i w:val="false"/>
          <w:color w:val="1F1F1F"/>
          <w:sz w:val="21"/>
        </w:rPr>
        <w:t>Las guías de la Federal Highway Administration recomiendan vincular los objetivos de control adaptativo con medidas observables como tiempo de viaje, demora, velocidad, número de detenciones, longitud de cola, flujo, llegadas en verde y confiabilidad [3][4]. En el piloto se utilizarán, como mínimo:</w:t>
      </w:r>
    </w:p>
    <w:p>
      <w:pPr>
        <w:pStyle w:val="ListBullet"/>
        <w:numPr>
          <w:ilvl w:val="0"/>
          <w:numId w:val="1"/>
        </w:numPr>
        <w:ind w:left="360" w:hanging="259"/>
        <w:rPr/>
      </w:pPr>
      <w:r>
        <w:rPr>
          <w:rFonts w:eastAsia="Calibri"/>
          <w:color w:val="1F1F1F"/>
          <w:sz w:val="21"/>
        </w:rPr>
        <w:t>Tiempo de recorrido y demora por ruta o aproximación.</w:t>
      </w:r>
    </w:p>
    <w:p>
      <w:pPr>
        <w:pStyle w:val="ListBullet"/>
        <w:numPr>
          <w:ilvl w:val="0"/>
          <w:numId w:val="1"/>
        </w:numPr>
        <w:ind w:left="360" w:hanging="259"/>
        <w:rPr/>
      </w:pPr>
      <w:r>
        <w:rPr>
          <w:rFonts w:eastAsia="Calibri"/>
          <w:color w:val="1F1F1F"/>
          <w:sz w:val="21"/>
        </w:rPr>
        <w:t>Longitud y duración de colas por movimiento.</w:t>
      </w:r>
    </w:p>
    <w:p>
      <w:pPr>
        <w:pStyle w:val="ListBullet"/>
        <w:numPr>
          <w:ilvl w:val="0"/>
          <w:numId w:val="1"/>
        </w:numPr>
        <w:ind w:left="360" w:hanging="259"/>
        <w:rPr/>
      </w:pPr>
      <w:r>
        <w:rPr>
          <w:rFonts w:eastAsia="Calibri"/>
          <w:color w:val="1F1F1F"/>
          <w:sz w:val="21"/>
        </w:rPr>
        <w:t>Número de detenciones y proporción de llegadas en verde.</w:t>
      </w:r>
    </w:p>
    <w:p>
      <w:pPr>
        <w:pStyle w:val="ListBullet"/>
        <w:numPr>
          <w:ilvl w:val="0"/>
          <w:numId w:val="1"/>
        </w:numPr>
        <w:ind w:left="360" w:hanging="259"/>
        <w:rPr/>
      </w:pPr>
      <w:r>
        <w:rPr>
          <w:rFonts w:eastAsia="Calibri"/>
          <w:color w:val="1F1F1F"/>
          <w:sz w:val="21"/>
        </w:rPr>
        <w:t>Volumen atendido y relación volumen/capacidad cuando los datos lo permitan.</w:t>
      </w:r>
    </w:p>
    <w:p>
      <w:pPr>
        <w:pStyle w:val="ListBullet"/>
        <w:numPr>
          <w:ilvl w:val="0"/>
          <w:numId w:val="1"/>
        </w:numPr>
        <w:ind w:left="360" w:hanging="259"/>
        <w:rPr/>
      </w:pPr>
      <w:r>
        <w:rPr>
          <w:rFonts w:eastAsia="Calibri"/>
          <w:color w:val="1F1F1F"/>
          <w:sz w:val="21"/>
        </w:rPr>
        <w:t>Variabilidad por horario, día, incidente, obra, cierre o evento masivo.</w:t>
      </w:r>
    </w:p>
    <w:p>
      <w:pPr>
        <w:pStyle w:val="ListBullet"/>
        <w:numPr>
          <w:ilvl w:val="0"/>
          <w:numId w:val="1"/>
        </w:numPr>
        <w:ind w:left="360" w:hanging="259"/>
        <w:rPr/>
      </w:pPr>
      <w:r>
        <w:rPr>
          <w:rFonts w:eastAsia="Calibri"/>
          <w:color w:val="1F1F1F"/>
          <w:sz w:val="21"/>
        </w:rPr>
        <w:t>Disponibilidad del sistema y tiempo de recuperación ante fallas.</w:t>
      </w:r>
    </w:p>
    <w:p>
      <w:pPr>
        <w:pStyle w:val="Normal"/>
        <w:rPr/>
      </w:pPr>
      <w:r>
        <w:rPr>
          <w:rFonts w:eastAsia="Calibri"/>
          <w:i w:val="false"/>
          <w:color w:val="1F1F1F"/>
          <w:sz w:val="21"/>
        </w:rPr>
        <w:t>La línea base y la evaluación deberán usar periodos comparables. Los trabajos físicos se programarán preferentemente en horario nocturno para reducir interferencias; los beneficios se medirán también en horas pico y valle, que es cuando puede observarse el efecto operativo.</w:t>
      </w:r>
    </w:p>
    <w:p>
      <w:pPr>
        <w:pStyle w:val="Heading1"/>
        <w:rPr/>
      </w:pPr>
      <w:r>
        <w:rPr/>
        <w:t>5. Prueba de concepto existente</w:t>
      </w:r>
    </w:p>
    <w:p>
      <w:pPr>
        <w:pStyle w:val="Normal"/>
        <w:rPr/>
      </w:pPr>
      <w:r>
        <w:rPr>
          <w:rFonts w:eastAsia="Calibri"/>
          <w:i w:val="false"/>
          <w:color w:val="1F1F1F"/>
          <w:sz w:val="21"/>
        </w:rPr>
        <w:t>El equipo desarrolló una demostración visual de la intersección de avenida Sombrerete, Calle 6 y avenida Práxedis Guerrero. La herramienta compara el plan actual con una alternativa optimizada bajo las mismas llegadas vehiculares simuladas. No sustituye un aforo vial, no representa resultados de campo y no debe presentarse como evidencia de una mejora ya obtenida.</w:t>
      </w:r>
    </w:p>
    <w:p>
      <w:pPr>
        <w:pStyle w:val="Normal"/>
        <w:spacing w:before="0" w:after="120"/>
        <w:rPr/>
      </w:pPr>
      <w:r>
        <w:rPr>
          <w:b/>
        </w:rPr>
        <w:t xml:space="preserve">Enlace directo: </w:t>
      </w:r>
      <w:hyperlink r:id="rId20">
        <w:r>
          <w:rPr>
            <w:color w:val="0563C1"/>
            <w:u w:val="single"/>
          </w:rPr>
          <w:t>simulation.loopnopalsolutions.xyz/simulaciones/v4.html</w:t>
        </w:r>
      </w:hyperlink>
    </w:p>
    <w:p>
      <w:pPr>
        <w:pStyle w:val="Heading1"/>
      </w:pPr>
      <w:r>
        <w:t>6. Resultados del escenario simulado</w:t>
      </w:r>
    </w:p>
    <w:p>
      <w:pPr/>
      <w:r>
        <w:t>La comparación de 24 horas utiliza siete accesos y aplica las mismas llegadas vehiculares simuladas a ambos planes. La única variable comparada es la programación semafórica. Los indicadores resumidos son los siguientes:</w:t>
      </w:r>
    </w:p>
    <w:tbl>
      <w:tblPr>
        <w:tblStyle w:val="TableGrid"/>
        <w:tblW w:type="dxa" w:w="9950"/>
        <w:tblLayout w:type="fixed"/>
        <w:tblLook w:firstColumn="1" w:firstRow="1" w:lastColumn="0" w:lastRow="0" w:noHBand="0" w:noVBand="1" w:val="04A0"/>
        <w:tblInd w:w="0" w:type="dxa"/>
      </w:tblPr>
      <w:tblGrid>
        <w:gridCol w:w="3900"/>
        <w:gridCol w:w="1750"/>
        <w:gridCol w:w="1750"/>
        <w:gridCol w:w="2550"/>
      </w:tblGrid>
      <w:tr>
        <w:trPr>
          <w:cantSplit/>
          <w:tblHeader w:val="true"/>
          <w:tblHeader w:val="true"/>
        </w:trPr>
        <w:tc>
          <w:tcPr>
            <w:tcW w:type="dxa" w:w="3900"/>
            <w:vAlign w:val="center"/>
            <w:shd w:fill="17365D"/>
          </w:tcPr>
          <w:p>
            <w:pPr>
              <w:spacing w:before="40" w:after="40"/>
              <w:jc w:val="left"/>
            </w:pPr>
            <w:r>
              <w:rPr>
                <w:b/>
                <w:color w:val="FFFFFF"/>
                <w:sz w:val="18"/>
              </w:rPr>
              <w:t>Indicador</w:t>
            </w:r>
          </w:p>
        </w:tc>
        <w:tc>
          <w:tcPr>
            <w:tcW w:type="dxa" w:w="1750"/>
            <w:vAlign w:val="center"/>
            <w:shd w:fill="17365D"/>
          </w:tcPr>
          <w:p>
            <w:pPr>
              <w:spacing w:before="40" w:after="40"/>
              <w:jc w:val="center"/>
            </w:pPr>
            <w:r>
              <w:rPr>
                <w:b/>
                <w:color w:val="FFFFFF"/>
                <w:sz w:val="18"/>
              </w:rPr>
              <w:t>Plan actual</w:t>
            </w:r>
          </w:p>
        </w:tc>
        <w:tc>
          <w:tcPr>
            <w:tcW w:type="dxa" w:w="1750"/>
            <w:vAlign w:val="center"/>
            <w:shd w:fill="17365D"/>
          </w:tcPr>
          <w:p>
            <w:pPr>
              <w:spacing w:before="40" w:after="40"/>
              <w:jc w:val="center"/>
            </w:pPr>
            <w:r>
              <w:rPr>
                <w:b/>
                <w:color w:val="FFFFFF"/>
                <w:sz w:val="18"/>
              </w:rPr>
              <w:t>Plan optimizado</w:t>
            </w:r>
          </w:p>
        </w:tc>
        <w:tc>
          <w:tcPr>
            <w:tcW w:type="dxa" w:w="2550"/>
            <w:vAlign w:val="center"/>
            <w:shd w:fill="17365D"/>
          </w:tcPr>
          <w:p>
            <w:pPr>
              <w:spacing w:before="40" w:after="40"/>
              <w:jc w:val="center"/>
            </w:pPr>
            <w:r>
              <w:rPr>
                <w:b/>
                <w:color w:val="FFFFFF"/>
                <w:sz w:val="18"/>
              </w:rPr>
              <w:t>Variación estimada</w:t>
            </w:r>
          </w:p>
        </w:tc>
      </w:tr>
      <w:tr>
        <w:trPr>
          <w:cantSplit/>
        </w:trPr>
        <w:tc>
          <w:tcPr>
            <w:tcW w:type="dxa" w:w="3900"/>
            <w:vAlign w:val="center"/>
            <w:shd w:fill="FFFFFF"/>
          </w:tcPr>
          <w:p>
            <w:pPr>
              <w:spacing w:before="40" w:after="40"/>
              <w:jc w:val="left"/>
            </w:pPr>
            <w:r>
              <w:rPr>
                <w:b/>
                <w:color w:val="1F1F1F"/>
                <w:sz w:val="18"/>
              </w:rPr>
              <w:t>Cola promedio total en siete accesos</w:t>
            </w:r>
          </w:p>
        </w:tc>
        <w:tc>
          <w:tcPr>
            <w:tcW w:type="dxa" w:w="1750"/>
            <w:vAlign w:val="center"/>
            <w:shd w:fill="FFFFFF"/>
          </w:tcPr>
          <w:p>
            <w:pPr>
              <w:spacing w:before="40" w:after="40"/>
              <w:jc w:val="center"/>
            </w:pPr>
            <w:r>
              <w:rPr>
                <w:b w:val="0"/>
                <w:color w:val="1F1F1F"/>
                <w:sz w:val="18"/>
              </w:rPr>
              <w:t>65.7 vehículos</w:t>
            </w:r>
          </w:p>
        </w:tc>
        <w:tc>
          <w:tcPr>
            <w:tcW w:type="dxa" w:w="1750"/>
            <w:vAlign w:val="center"/>
            <w:shd w:fill="FFFFFF"/>
          </w:tcPr>
          <w:p>
            <w:pPr>
              <w:spacing w:before="40" w:after="40"/>
              <w:jc w:val="center"/>
            </w:pPr>
            <w:r>
              <w:rPr>
                <w:b w:val="0"/>
                <w:color w:val="1F1F1F"/>
                <w:sz w:val="18"/>
              </w:rPr>
              <w:t>38.3 vehículos</w:t>
            </w:r>
          </w:p>
        </w:tc>
        <w:tc>
          <w:tcPr>
            <w:tcW w:type="dxa" w:w="2550"/>
            <w:vAlign w:val="center"/>
            <w:shd w:fill="FFFFFF"/>
          </w:tcPr>
          <w:p>
            <w:pPr>
              <w:spacing w:before="40" w:after="40"/>
              <w:jc w:val="center"/>
            </w:pPr>
            <w:r>
              <w:rPr>
                <w:b w:val="0"/>
                <w:color w:val="1F1F1F"/>
                <w:sz w:val="18"/>
              </w:rPr>
              <w:t>-42%</w:t>
            </w:r>
          </w:p>
        </w:tc>
      </w:tr>
      <w:tr>
        <w:trPr>
          <w:cantSplit/>
        </w:trPr>
        <w:tc>
          <w:tcPr>
            <w:tcW w:type="dxa" w:w="3900"/>
            <w:vAlign w:val="center"/>
            <w:shd w:fill="EAF0F6"/>
          </w:tcPr>
          <w:p>
            <w:pPr>
              <w:spacing w:before="40" w:after="40"/>
              <w:jc w:val="left"/>
            </w:pPr>
            <w:r>
              <w:rPr>
                <w:b/>
                <w:color w:val="1F1F1F"/>
                <w:sz w:val="18"/>
              </w:rPr>
              <w:t>Espera estimada por vehículo</w:t>
            </w:r>
          </w:p>
        </w:tc>
        <w:tc>
          <w:tcPr>
            <w:tcW w:type="dxa" w:w="1750"/>
            <w:vAlign w:val="center"/>
            <w:shd w:fill="EAF0F6"/>
          </w:tcPr>
          <w:p>
            <w:pPr>
              <w:spacing w:before="40" w:after="40"/>
              <w:jc w:val="center"/>
            </w:pPr>
            <w:r>
              <w:rPr>
                <w:b w:val="0"/>
                <w:color w:val="1F1F1F"/>
                <w:sz w:val="18"/>
              </w:rPr>
              <w:t>106 s</w:t>
            </w:r>
          </w:p>
        </w:tc>
        <w:tc>
          <w:tcPr>
            <w:tcW w:type="dxa" w:w="1750"/>
            <w:vAlign w:val="center"/>
            <w:shd w:fill="EAF0F6"/>
          </w:tcPr>
          <w:p>
            <w:pPr>
              <w:spacing w:before="40" w:after="40"/>
              <w:jc w:val="center"/>
            </w:pPr>
            <w:r>
              <w:rPr>
                <w:b w:val="0"/>
                <w:color w:val="1F1F1F"/>
                <w:sz w:val="18"/>
              </w:rPr>
              <w:t>62 s</w:t>
            </w:r>
          </w:p>
        </w:tc>
        <w:tc>
          <w:tcPr>
            <w:tcW w:type="dxa" w:w="2550"/>
            <w:vAlign w:val="center"/>
            <w:shd w:fill="EAF0F6"/>
          </w:tcPr>
          <w:p>
            <w:pPr>
              <w:spacing w:before="40" w:after="40"/>
              <w:jc w:val="center"/>
            </w:pPr>
            <w:r>
              <w:rPr>
                <w:b w:val="0"/>
                <w:color w:val="1F1F1F"/>
                <w:sz w:val="18"/>
              </w:rPr>
              <w:t>-44 s</w:t>
            </w:r>
          </w:p>
        </w:tc>
      </w:tr>
      <w:tr>
        <w:trPr>
          <w:cantSplit/>
        </w:trPr>
        <w:tc>
          <w:tcPr>
            <w:tcW w:type="dxa" w:w="3900"/>
            <w:vAlign w:val="center"/>
            <w:shd w:fill="FFFFFF"/>
          </w:tcPr>
          <w:p>
            <w:pPr>
              <w:spacing w:before="40" w:after="40"/>
              <w:jc w:val="left"/>
            </w:pPr>
            <w:r>
              <w:rPr>
                <w:b/>
                <w:color w:val="1F1F1F"/>
                <w:sz w:val="18"/>
              </w:rPr>
              <w:t>Tiempo en congestión alta o saturada</w:t>
            </w:r>
          </w:p>
        </w:tc>
        <w:tc>
          <w:tcPr>
            <w:tcW w:type="dxa" w:w="1750"/>
            <w:vAlign w:val="center"/>
            <w:shd w:fill="FFFFFF"/>
          </w:tcPr>
          <w:p>
            <w:pPr>
              <w:spacing w:before="40" w:after="40"/>
              <w:jc w:val="center"/>
            </w:pPr>
            <w:r>
              <w:rPr>
                <w:b w:val="0"/>
                <w:color w:val="1F1F1F"/>
                <w:sz w:val="18"/>
              </w:rPr>
              <w:t>Referencia 100%</w:t>
            </w:r>
          </w:p>
        </w:tc>
        <w:tc>
          <w:tcPr>
            <w:tcW w:type="dxa" w:w="1750"/>
            <w:vAlign w:val="center"/>
            <w:shd w:fill="FFFFFF"/>
          </w:tcPr>
          <w:p>
            <w:pPr>
              <w:spacing w:before="40" w:after="40"/>
              <w:jc w:val="center"/>
            </w:pPr>
            <w:r>
              <w:rPr>
                <w:b w:val="0"/>
                <w:color w:val="1F1F1F"/>
                <w:sz w:val="18"/>
              </w:rPr>
              <w:t>66% del actual</w:t>
            </w:r>
          </w:p>
        </w:tc>
        <w:tc>
          <w:tcPr>
            <w:tcW w:type="dxa" w:w="2550"/>
            <w:vAlign w:val="center"/>
            <w:shd w:fill="FFFFFF"/>
          </w:tcPr>
          <w:p>
            <w:pPr>
              <w:spacing w:before="40" w:after="40"/>
              <w:jc w:val="center"/>
            </w:pPr>
            <w:r>
              <w:rPr>
                <w:b w:val="0"/>
                <w:color w:val="1F1F1F"/>
                <w:sz w:val="18"/>
              </w:rPr>
              <w:t>-34%</w:t>
            </w:r>
          </w:p>
        </w:tc>
      </w:tr>
      <w:tr>
        <w:trPr>
          <w:cantSplit/>
        </w:trPr>
        <w:tc>
          <w:tcPr>
            <w:tcW w:type="dxa" w:w="3900"/>
            <w:vAlign w:val="center"/>
            <w:shd w:fill="EAF0F6"/>
          </w:tcPr>
          <w:p>
            <w:pPr>
              <w:spacing w:before="40" w:after="40"/>
              <w:jc w:val="left"/>
            </w:pPr>
            <w:r>
              <w:rPr>
                <w:b/>
                <w:color w:val="1F1F1F"/>
                <w:sz w:val="18"/>
              </w:rPr>
              <w:t>Tiempo en saturación durante horas pico</w:t>
            </w:r>
          </w:p>
        </w:tc>
        <w:tc>
          <w:tcPr>
            <w:tcW w:type="dxa" w:w="1750"/>
            <w:vAlign w:val="center"/>
            <w:shd w:fill="EAF0F6"/>
          </w:tcPr>
          <w:p>
            <w:pPr>
              <w:spacing w:before="40" w:after="40"/>
              <w:jc w:val="center"/>
            </w:pPr>
            <w:r>
              <w:rPr>
                <w:b w:val="0"/>
                <w:color w:val="1F1F1F"/>
                <w:sz w:val="18"/>
              </w:rPr>
              <w:t>Referencia 100%</w:t>
            </w:r>
          </w:p>
        </w:tc>
        <w:tc>
          <w:tcPr>
            <w:tcW w:type="dxa" w:w="1750"/>
            <w:vAlign w:val="center"/>
            <w:shd w:fill="EAF0F6"/>
          </w:tcPr>
          <w:p>
            <w:pPr>
              <w:spacing w:before="40" w:after="40"/>
              <w:jc w:val="center"/>
            </w:pPr>
            <w:r>
              <w:rPr>
                <w:b w:val="0"/>
                <w:color w:val="1F1F1F"/>
                <w:sz w:val="18"/>
              </w:rPr>
              <w:t>76% del actual</w:t>
            </w:r>
          </w:p>
        </w:tc>
        <w:tc>
          <w:tcPr>
            <w:tcW w:type="dxa" w:w="2550"/>
            <w:vAlign w:val="center"/>
            <w:shd w:fill="EAF0F6"/>
          </w:tcPr>
          <w:p>
            <w:pPr>
              <w:spacing w:before="40" w:after="40"/>
              <w:jc w:val="center"/>
            </w:pPr>
            <w:r>
              <w:rPr>
                <w:b w:val="0"/>
                <w:color w:val="1F1F1F"/>
                <w:sz w:val="18"/>
              </w:rPr>
              <w:t>-24%</w:t>
            </w:r>
          </w:p>
        </w:tc>
      </w:tr>
    </w:tbl>
    <w:p>
      <w:pPr>
        <w:spacing w:before="120" w:after="160"/>
        <w:shd w:fill="EAF0F6"/>
        <w:pBdr>
          <w:left w:val="single" w:sz="18" w:space="6" w:color="17365D"/>
        </w:pBdr>
      </w:pPr>
      <w:r>
        <w:rPr>
          <w:color w:val="17365D"/>
          <w:sz w:val="18"/>
        </w:rPr>
        <w:t>Nota metodológica. La espera se estima a partir de la cola promedio y la tasa de llegada conforme a la Ley de Little. Los porcentajes describen únicamente el escenario modelado; deberán recalibrarse y validarse con aforos, geometría, demanda, incidentes y tiempos reales antes de sustentar una decisión operativa.</w:t>
      </w:r>
    </w:p>
    <w:p>
      <w:pPr>
        <w:pStyle w:val="Heading1"/>
        <w:rPr/>
      </w:pPr>
      <w:r>
        <w:rPr/>
        <w:t>7. Cronograma de implementación</w:t>
      </w:r>
    </w:p>
    <w:tbl>
      <w:tblPr>
        <w:tblStyle w:val="TableGrid"/>
        <w:tblW w:w="9994" w:type="dxa"/>
        <w:jc w:val="left"/>
        <w:tblInd w:w="132" w:type="dxa"/>
        <w:tblLayout w:type="fixed"/>
        <w:tblCellMar>
          <w:top w:w="80" w:type="dxa"/>
          <w:left w:w="120" w:type="dxa"/>
          <w:bottom w:w="80" w:type="dxa"/>
          <w:right w:w="120" w:type="dxa"/>
        </w:tblCellMar>
        <w:tblLook w:firstRow="1" w:noVBand="1" w:lastRow="0" w:firstColumn="1" w:lastColumn="0" w:noHBand="0" w:val="04a0"/>
      </w:tblPr>
      <w:tblGrid>
        <w:gridCol w:w="2900"/>
        <w:gridCol w:w="1600"/>
        <w:gridCol w:w="5494"/>
      </w:tblGrid>
      <w:tr>
        <w:trPr>
          <w:tblHeader w:val="true"/>
          <w:tblHeader w:val="true"/>
        </w:trPr>
        <w:tc>
          <w:tcPr>
            <w:tcW w:w="2900"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Etapa</w:t>
            </w:r>
          </w:p>
        </w:tc>
        <w:tc>
          <w:tcPr>
            <w:tcW w:w="1600"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Duración</w:t>
            </w:r>
          </w:p>
        </w:tc>
        <w:tc>
          <w:tcPr>
            <w:tcW w:w="5494"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Entregable</w:t>
            </w:r>
          </w:p>
        </w:tc>
      </w:tr>
      <w:tr>
        <w:trPr/>
        <w:tc>
          <w:tcPr>
            <w:tcW w:w="29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Preparación institucional</w:t>
            </w:r>
          </w:p>
        </w:tc>
        <w:tc>
          <w:tcPr>
            <w:tcW w:w="1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Meses 1-2</w:t>
            </w:r>
          </w:p>
        </w:tc>
        <w:tc>
          <w:tcPr>
            <w:tcW w:w="54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Acta de arranque, responsables, confidencialidad, inventario y selección preliminar.</w:t>
            </w:r>
          </w:p>
        </w:tc>
      </w:tr>
      <w:tr>
        <w:trPr/>
        <w:tc>
          <w:tcPr>
            <w:tcW w:w="29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Línea base y selección final</w:t>
            </w:r>
          </w:p>
        </w:tc>
        <w:tc>
          <w:tcPr>
            <w:tcW w:w="16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Meses 2-4</w:t>
            </w:r>
          </w:p>
        </w:tc>
        <w:tc>
          <w:tcPr>
            <w:tcW w:w="5494"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Diagnóstico y expediente de tres intersecciones piloto.</w:t>
            </w:r>
          </w:p>
        </w:tc>
      </w:tr>
      <w:tr>
        <w:trPr/>
        <w:tc>
          <w:tcPr>
            <w:tcW w:w="29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Modelado y simulación</w:t>
            </w:r>
          </w:p>
        </w:tc>
        <w:tc>
          <w:tcPr>
            <w:tcW w:w="1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Meses 4-6</w:t>
            </w:r>
          </w:p>
        </w:tc>
        <w:tc>
          <w:tcPr>
            <w:tcW w:w="54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Planes alternativos y criterios de reversión.</w:t>
            </w:r>
          </w:p>
        </w:tc>
      </w:tr>
      <w:tr>
        <w:trPr/>
        <w:tc>
          <w:tcPr>
            <w:tcW w:w="29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Implementación controlada</w:t>
            </w:r>
          </w:p>
        </w:tc>
        <w:tc>
          <w:tcPr>
            <w:tcW w:w="16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Meses 6-8</w:t>
            </w:r>
          </w:p>
        </w:tc>
        <w:tc>
          <w:tcPr>
            <w:tcW w:w="5494"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Configuración autorizada y bitácora de cambios.</w:t>
            </w:r>
          </w:p>
        </w:tc>
      </w:tr>
      <w:tr>
        <w:trPr/>
        <w:tc>
          <w:tcPr>
            <w:tcW w:w="29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Monitoreo y ajuste</w:t>
            </w:r>
          </w:p>
        </w:tc>
        <w:tc>
          <w:tcPr>
            <w:tcW w:w="1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Meses 9-11</w:t>
            </w:r>
          </w:p>
        </w:tc>
        <w:tc>
          <w:tcPr>
            <w:tcW w:w="54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Medición comparable, ajustes y evaluación de desempeño.</w:t>
            </w:r>
          </w:p>
        </w:tc>
      </w:tr>
      <w:tr>
        <w:trPr/>
        <w:tc>
          <w:tcPr>
            <w:tcW w:w="29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Cierre y escalamiento</w:t>
            </w:r>
          </w:p>
        </w:tc>
        <w:tc>
          <w:tcPr>
            <w:tcW w:w="16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Mes 12</w:t>
            </w:r>
          </w:p>
        </w:tc>
        <w:tc>
          <w:tcPr>
            <w:tcW w:w="5494"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Informe final, costo unitario y plan de expansión.</w:t>
            </w:r>
          </w:p>
        </w:tc>
      </w:tr>
    </w:tbl>
    <w:p>
      <w:pPr>
        <w:pStyle w:val="Heading1"/>
        <w:rPr/>
      </w:pPr>
      <w:r>
        <w:rPr/>
        <w:t>8. Entregables</w:t>
      </w:r>
    </w:p>
    <w:tbl>
      <w:tblPr>
        <w:tblStyle w:val="TableGrid"/>
        <w:tblW w:w="9994" w:type="dxa"/>
        <w:jc w:val="left"/>
        <w:tblInd w:w="132" w:type="dxa"/>
        <w:tblLayout w:type="fixed"/>
        <w:tblCellMar>
          <w:top w:w="80" w:type="dxa"/>
          <w:left w:w="120" w:type="dxa"/>
          <w:bottom w:w="80" w:type="dxa"/>
          <w:right w:w="120" w:type="dxa"/>
        </w:tblCellMar>
        <w:tblLook w:firstRow="1" w:noVBand="1" w:lastRow="0" w:firstColumn="1" w:lastColumn="0" w:noHBand="0" w:val="04a0"/>
      </w:tblPr>
      <w:tblGrid>
        <w:gridCol w:w="699"/>
        <w:gridCol w:w="2700"/>
        <w:gridCol w:w="6595"/>
      </w:tblGrid>
      <w:tr>
        <w:trPr>
          <w:tblHeader w:val="true"/>
          <w:tblHeader w:val="true"/>
        </w:trPr>
        <w:tc>
          <w:tcPr>
            <w:tcW w:w="699"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No.</w:t>
            </w:r>
          </w:p>
        </w:tc>
        <w:tc>
          <w:tcPr>
            <w:tcW w:w="2700"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Entregable</w:t>
            </w:r>
          </w:p>
        </w:tc>
        <w:tc>
          <w:tcPr>
            <w:tcW w:w="6595"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Contenido</w:t>
            </w:r>
          </w:p>
        </w:tc>
      </w:tr>
      <w:tr>
        <w:trPr/>
        <w:tc>
          <w:tcPr>
            <w:tcW w:w="6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1</w:t>
            </w:r>
          </w:p>
        </w:tc>
        <w:tc>
          <w:tcPr>
            <w:tcW w:w="27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Inventario y línea base</w:t>
            </w:r>
          </w:p>
        </w:tc>
        <w:tc>
          <w:tcPr>
            <w:tcW w:w="6595"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Datos, fuentes, calidad, restricciones y métricas por intersección.</w:t>
            </w:r>
          </w:p>
        </w:tc>
      </w:tr>
      <w:tr>
        <w:trPr/>
        <w:tc>
          <w:tcPr>
            <w:tcW w:w="699"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2</w:t>
            </w:r>
          </w:p>
        </w:tc>
        <w:tc>
          <w:tcPr>
            <w:tcW w:w="27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Modelo y simulación</w:t>
            </w:r>
          </w:p>
        </w:tc>
        <w:tc>
          <w:tcPr>
            <w:tcW w:w="6595"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Escenarios comparables, supuestos y propuesta de temporización.</w:t>
            </w:r>
          </w:p>
        </w:tc>
      </w:tr>
      <w:tr>
        <w:trPr/>
        <w:tc>
          <w:tcPr>
            <w:tcW w:w="6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3</w:t>
            </w:r>
          </w:p>
        </w:tc>
        <w:tc>
          <w:tcPr>
            <w:tcW w:w="27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Plan de implementación</w:t>
            </w:r>
          </w:p>
        </w:tc>
        <w:tc>
          <w:tcPr>
            <w:tcW w:w="6595"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Ventana de trabajo, reversión, seguridad y responsables.</w:t>
            </w:r>
          </w:p>
        </w:tc>
      </w:tr>
      <w:tr>
        <w:trPr/>
        <w:tc>
          <w:tcPr>
            <w:tcW w:w="699"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4</w:t>
            </w:r>
          </w:p>
        </w:tc>
        <w:tc>
          <w:tcPr>
            <w:tcW w:w="27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Bitácora y tablero</w:t>
            </w:r>
          </w:p>
        </w:tc>
        <w:tc>
          <w:tcPr>
            <w:tcW w:w="6595"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Cambios, incidencias, indicadores y evidencia de operación.</w:t>
            </w:r>
          </w:p>
        </w:tc>
      </w:tr>
      <w:tr>
        <w:trPr/>
        <w:tc>
          <w:tcPr>
            <w:tcW w:w="6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5</w:t>
            </w:r>
          </w:p>
        </w:tc>
        <w:tc>
          <w:tcPr>
            <w:tcW w:w="27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Informe final</w:t>
            </w:r>
          </w:p>
        </w:tc>
        <w:tc>
          <w:tcPr>
            <w:tcW w:w="6595"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Resultados, límites, costo unitario y recomendación de escalamiento.</w:t>
            </w:r>
          </w:p>
        </w:tc>
      </w:tr>
    </w:tbl>
    <w:p>
      <w:pPr>
        <w:pStyle w:val="Heading1"/>
        <w:rPr/>
      </w:pPr>
      <w:r>
        <w:rPr/>
        <w:t>9. Equipo, responsabilidades y contacto institucional</w:t>
      </w:r>
    </w:p>
    <w:p>
      <w:pPr>
        <w:pStyle w:val="Normal"/>
        <w:rPr/>
      </w:pPr>
      <w:r>
        <w:rPr>
          <w:rFonts w:eastAsia="Calibri"/>
          <w:i w:val="false"/>
          <w:color w:val="1F1F1F"/>
          <w:sz w:val="21"/>
        </w:rPr>
        <w:t>El equipo de trabajo está integrado por tres personas. Loop Nopal Solutions se presenta en este documento como nombre comercial del equipo proponente. La personalidad jurídica, situación fiscal, facultades de firma y documentación para el padrón de proveedores deberán acreditarse antes de cualquier contratación.</w:t>
      </w:r>
    </w:p>
    <w:tbl>
      <w:tblPr>
        <w:tblStyle w:val="TableGrid"/>
        <w:tblW w:w="9994" w:type="dxa"/>
        <w:jc w:val="left"/>
        <w:tblInd w:w="132" w:type="dxa"/>
        <w:tblLayout w:type="fixed"/>
        <w:tblCellMar>
          <w:top w:w="80" w:type="dxa"/>
          <w:left w:w="120" w:type="dxa"/>
          <w:bottom w:w="80" w:type="dxa"/>
          <w:right w:w="120" w:type="dxa"/>
        </w:tblCellMar>
        <w:tblLook w:firstRow="1" w:noVBand="1" w:lastRow="0" w:firstColumn="1" w:lastColumn="0" w:noHBand="0" w:val="04a0"/>
      </w:tblPr>
      <w:tblGrid>
        <w:gridCol w:w="2600"/>
        <w:gridCol w:w="2200"/>
        <w:gridCol w:w="5194"/>
      </w:tblGrid>
      <w:tr>
        <w:trPr>
          <w:tblHeader w:val="true"/>
          <w:tblHeader w:val="true"/>
        </w:trPr>
        <w:tc>
          <w:tcPr>
            <w:tcW w:w="2600"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7"/>
                <w:szCs w:val="22"/>
                <w:lang w:eastAsia="en-US" w:bidi="ar-SA"/>
              </w:rPr>
              <w:t>Integrante</w:t>
            </w:r>
          </w:p>
        </w:tc>
        <w:tc>
          <w:tcPr>
            <w:tcW w:w="2200"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7"/>
                <w:szCs w:val="22"/>
                <w:lang w:eastAsia="en-US" w:bidi="ar-SA"/>
              </w:rPr>
              <w:t>Responsabilidad</w:t>
            </w:r>
          </w:p>
        </w:tc>
        <w:tc>
          <w:tcPr>
            <w:tcW w:w="5194"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7"/>
                <w:szCs w:val="22"/>
                <w:lang w:eastAsia="en-US" w:bidi="ar-SA"/>
              </w:rPr>
              <w:t>Alcance</w:t>
            </w:r>
          </w:p>
        </w:tc>
      </w:tr>
      <w:tr>
        <w:trPr/>
        <w:tc>
          <w:tcPr>
            <w:tcW w:w="2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Oscar Brandon Lara López</w:t>
            </w:r>
          </w:p>
        </w:tc>
        <w:tc>
          <w:tcPr>
            <w:tcW w:w="22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Responsable técnico y enlace</w:t>
            </w:r>
          </w:p>
        </w:tc>
        <w:tc>
          <w:tcPr>
            <w:tcW w:w="51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Dirección técnica, análisis, coordinación y seguridad de la información. Formación: nueve semestres cursados de Ingeniería Mecatrónica en el Instituto Tecnológico de Querétaro; proceso de revalidación/titulación y Certificado Profesional en Ciberseguridad de Google.</w:t>
            </w:r>
          </w:p>
        </w:tc>
      </w:tr>
      <w:tr>
        <w:trPr/>
        <w:tc>
          <w:tcPr>
            <w:tcW w:w="26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Ricardo Andrade Prado</w:t>
            </w:r>
          </w:p>
        </w:tc>
        <w:tc>
          <w:tcPr>
            <w:tcW w:w="22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7"/>
                <w:szCs w:val="22"/>
                <w:lang w:eastAsia="en-US" w:bidi="ar-SA"/>
              </w:rPr>
              <w:t>Logística y finanzas</w:t>
            </w:r>
          </w:p>
        </w:tc>
        <w:tc>
          <w:tcPr>
            <w:tcW w:w="5194"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Coordinación operativa, logística de campo, control de costos y soporte administrativo.</w:t>
            </w:r>
          </w:p>
        </w:tc>
      </w:tr>
      <w:tr>
        <w:trPr/>
        <w:tc>
          <w:tcPr>
            <w:tcW w:w="2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Edgar Renan López Silva</w:t>
            </w:r>
          </w:p>
        </w:tc>
        <w:tc>
          <w:tcPr>
            <w:tcW w:w="22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7"/>
                <w:szCs w:val="22"/>
                <w:lang w:eastAsia="en-US" w:bidi="ar-SA"/>
              </w:rPr>
              <w:t>Desarrollo y despliegue</w:t>
            </w:r>
          </w:p>
        </w:tc>
        <w:tc>
          <w:tcPr>
            <w:tcW w:w="5194"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7"/>
                <w:szCs w:val="22"/>
                <w:lang w:eastAsia="en-US" w:bidi="ar-SA"/>
              </w:rPr>
              <w:t>Soporte de software, documentación, preparación de pruebas y asistencia técnica en campo y oficina.</w:t>
            </w:r>
          </w:p>
        </w:tc>
      </w:tr>
    </w:tbl>
    <w:p>
      <w:pPr>
        <w:pStyle w:val="Normal"/>
        <w:rPr/>
      </w:pPr>
      <w:r>
        <w:rPr>
          <w:rFonts w:eastAsia="Calibri"/>
          <w:i w:val="false"/>
          <w:color w:val="1F1F1F"/>
          <w:sz w:val="21"/>
        </w:rPr>
        <w:t>Por seguridad y claridad, la propuesta publica un solo contacto: Oscar Brandon Lara López. Los datos personales de colaboradores se administrarán internamente y sólo se entregarán si el procedimiento de contratación lo requiere.</w:t>
      </w:r>
    </w:p>
    <w:p>
      <w:pPr>
        <w:pStyle w:val="Heading1"/>
        <w:rPr/>
      </w:pPr>
      <w:r>
        <w:rPr/>
        <w:t>10. Presupuesto de referencia para 12 meses</w:t>
      </w:r>
    </w:p>
    <w:p>
      <w:pPr>
        <w:pStyle w:val="Normal"/>
        <w:rPr/>
      </w:pPr>
      <w:r>
        <w:rPr>
          <w:rFonts w:eastAsia="Calibri"/>
          <w:i w:val="false"/>
          <w:color w:val="1F1F1F"/>
          <w:sz w:val="21"/>
        </w:rPr>
        <w:t>El presupuesto se presenta por resultados y paquetes funcionales; la lista de componentes, arquitectura y cotizaciones unitarias se conservarán en un anexo técnico confidencial. Los costos de oficina se consideran gastos internos y no un reembolso separado.</w:t>
      </w:r>
    </w:p>
    <w:tbl>
      <w:tblPr>
        <w:tblStyle w:val="TableGrid"/>
        <w:tblW w:w="9994" w:type="dxa"/>
        <w:jc w:val="left"/>
        <w:tblInd w:w="132" w:type="dxa"/>
        <w:tblLayout w:type="fixed"/>
        <w:tblCellMar>
          <w:top w:w="80" w:type="dxa"/>
          <w:left w:w="120" w:type="dxa"/>
          <w:bottom w:w="80" w:type="dxa"/>
          <w:right w:w="120" w:type="dxa"/>
        </w:tblCellMar>
        <w:tblLook w:firstRow="1" w:noVBand="1" w:lastRow="0" w:firstColumn="1" w:lastColumn="0" w:noHBand="0" w:val="04a0"/>
      </w:tblPr>
      <w:tblGrid>
        <w:gridCol w:w="3300"/>
        <w:gridCol w:w="1899"/>
        <w:gridCol w:w="4795"/>
      </w:tblGrid>
      <w:tr>
        <w:trPr>
          <w:tblHeader w:val="true"/>
          <w:tblHeader w:val="true"/>
        </w:trPr>
        <w:tc>
          <w:tcPr>
            <w:tcW w:w="3300"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Rubro</w:t>
            </w:r>
          </w:p>
        </w:tc>
        <w:tc>
          <w:tcPr>
            <w:tcW w:w="1899"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Monto base (MXN)</w:t>
            </w:r>
          </w:p>
        </w:tc>
        <w:tc>
          <w:tcPr>
            <w:tcW w:w="4795"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8"/>
                <w:szCs w:val="22"/>
                <w:lang w:eastAsia="en-US" w:bidi="ar-SA"/>
              </w:rPr>
              <w:t>Contenido</w:t>
            </w:r>
          </w:p>
        </w:tc>
      </w:tr>
      <w:tr>
        <w:trPr/>
        <w:tc>
          <w:tcPr>
            <w:tcW w:w="33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Servicios profesionales y administración</w:t>
            </w:r>
          </w:p>
        </w:tc>
        <w:tc>
          <w:tcPr>
            <w:tcW w:w="18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$924,000</w:t>
            </w:r>
          </w:p>
        </w:tc>
        <w:tc>
          <w:tcPr>
            <w:tcW w:w="4795"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Responsable técnico, dos colaboradores y costos administrativos internos.</w:t>
            </w:r>
          </w:p>
        </w:tc>
      </w:tr>
      <w:tr>
        <w:trPr/>
        <w:tc>
          <w:tcPr>
            <w:tcW w:w="3300"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Plataforma tecnológica e integración</w:t>
            </w:r>
          </w:p>
        </w:tc>
        <w:tc>
          <w:tcPr>
            <w:tcW w:w="1899"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$292,872</w:t>
            </w:r>
          </w:p>
        </w:tc>
        <w:tc>
          <w:tcPr>
            <w:tcW w:w="4795" w:type="dxa"/>
            <w:tcBorders>
              <w:top w:val="single" w:sz="6" w:space="0" w:color="AAB7C4"/>
              <w:left w:val="single" w:sz="6" w:space="0" w:color="AAB7C4"/>
              <w:bottom w:val="single" w:sz="6" w:space="0" w:color="AAB7C4"/>
              <w:right w:val="single" w:sz="6" w:space="0" w:color="AAB7C4"/>
            </w:tcBorders>
            <w:shd w:fill="F2F4F7"/>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Equipamiento, integración, software, alojamiento y controles de seguridad. Importe base sujeto a estudio de sitio y cotización.</w:t>
            </w:r>
          </w:p>
        </w:tc>
      </w:tr>
      <w:tr>
        <w:trPr/>
        <w:tc>
          <w:tcPr>
            <w:tcW w:w="33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Operación de campo, movilidad y seguridad</w:t>
            </w:r>
          </w:p>
        </w:tc>
        <w:tc>
          <w:tcPr>
            <w:tcW w:w="1899"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center"/>
              <w:rPr>
                <w:rFonts w:cs=""/>
                <w:kern w:val="0"/>
                <w:szCs w:val="22"/>
                <w:lang w:eastAsia="en-US" w:bidi="ar-SA"/>
              </w:rPr>
            </w:pPr>
            <w:r>
              <w:rPr>
                <w:rFonts w:eastAsia="Calibri" w:cs=""/>
                <w:color w:val="1F1F1F"/>
                <w:kern w:val="0"/>
                <w:sz w:val="18"/>
                <w:szCs w:val="22"/>
                <w:lang w:eastAsia="en-US" w:bidi="ar-SA"/>
              </w:rPr>
              <w:t>$205,000</w:t>
            </w:r>
          </w:p>
        </w:tc>
        <w:tc>
          <w:tcPr>
            <w:tcW w:w="4795"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8"/>
                <w:szCs w:val="22"/>
                <w:lang w:eastAsia="en-US" w:bidi="ar-SA"/>
              </w:rPr>
              <w:t>Aforos, traslados, logística, equipo de protección y gestión de riesgos.</w:t>
            </w:r>
          </w:p>
        </w:tc>
      </w:tr>
      <w:tr>
        <w:trPr/>
        <w:tc>
          <w:tcPr>
            <w:tcW w:w="3300" w:type="dxa"/>
            <w:tcBorders>
              <w:top w:val="single" w:sz="6" w:space="0" w:color="AAB7C4"/>
              <w:left w:val="single" w:sz="6" w:space="0" w:color="AAB7C4"/>
              <w:bottom w:val="single" w:sz="6" w:space="0" w:color="AAB7C4"/>
              <w:right w:val="single" w:sz="6" w:space="0" w:color="AAB7C4"/>
            </w:tcBorders>
            <w:shd w:fill="DCE6F1"/>
            <w:vAlign w:val="center"/>
          </w:tcPr>
          <w:p>
            <w:pPr>
              <w:pStyle w:val="Normal"/>
              <w:widowControl/>
              <w:spacing w:lineRule="auto" w:line="244" w:before="0" w:after="0"/>
              <w:jc w:val="left"/>
              <w:rPr>
                <w:rFonts w:cs=""/>
                <w:kern w:val="0"/>
                <w:szCs w:val="22"/>
                <w:lang w:eastAsia="en-US" w:bidi="ar-SA"/>
              </w:rPr>
            </w:pPr>
            <w:r>
              <w:rPr>
                <w:rFonts w:eastAsia="Calibri" w:cs=""/>
                <w:b/>
                <w:color w:val="17365D"/>
                <w:kern w:val="0"/>
                <w:sz w:val="18"/>
                <w:szCs w:val="22"/>
                <w:lang w:eastAsia="en-US" w:bidi="ar-SA"/>
              </w:rPr>
              <w:t>TOTAL BASE</w:t>
            </w:r>
          </w:p>
        </w:tc>
        <w:tc>
          <w:tcPr>
            <w:tcW w:w="1899" w:type="dxa"/>
            <w:tcBorders>
              <w:top w:val="single" w:sz="6" w:space="0" w:color="AAB7C4"/>
              <w:left w:val="single" w:sz="6" w:space="0" w:color="AAB7C4"/>
              <w:bottom w:val="single" w:sz="6" w:space="0" w:color="AAB7C4"/>
              <w:right w:val="single" w:sz="6" w:space="0" w:color="AAB7C4"/>
            </w:tcBorders>
            <w:shd w:fill="DCE6F1"/>
            <w:vAlign w:val="center"/>
          </w:tcPr>
          <w:p>
            <w:pPr>
              <w:pStyle w:val="Normal"/>
              <w:widowControl/>
              <w:spacing w:lineRule="auto" w:line="244" w:before="0" w:after="0"/>
              <w:jc w:val="center"/>
              <w:rPr>
                <w:rFonts w:cs=""/>
                <w:kern w:val="0"/>
                <w:szCs w:val="22"/>
                <w:lang w:eastAsia="en-US" w:bidi="ar-SA"/>
              </w:rPr>
            </w:pPr>
            <w:r>
              <w:rPr>
                <w:rFonts w:eastAsia="Calibri" w:cs=""/>
                <w:b/>
                <w:color w:val="17365D"/>
                <w:kern w:val="0"/>
                <w:sz w:val="18"/>
                <w:szCs w:val="22"/>
                <w:lang w:eastAsia="en-US" w:bidi="ar-SA"/>
              </w:rPr>
              <w:t>$1,421,872</w:t>
            </w:r>
          </w:p>
        </w:tc>
        <w:tc>
          <w:tcPr>
            <w:tcW w:w="4795" w:type="dxa"/>
            <w:tcBorders>
              <w:top w:val="single" w:sz="6" w:space="0" w:color="AAB7C4"/>
              <w:left w:val="single" w:sz="6" w:space="0" w:color="AAB7C4"/>
              <w:bottom w:val="single" w:sz="6" w:space="0" w:color="AAB7C4"/>
              <w:right w:val="single" w:sz="6" w:space="0" w:color="AAB7C4"/>
            </w:tcBorders>
            <w:shd w:fill="DCE6F1"/>
            <w:vAlign w:val="center"/>
          </w:tcPr>
          <w:p>
            <w:pPr>
              <w:pStyle w:val="Normal"/>
              <w:widowControl/>
              <w:spacing w:lineRule="auto" w:line="244" w:before="0" w:after="0"/>
              <w:jc w:val="left"/>
              <w:rPr>
                <w:rFonts w:cs=""/>
                <w:kern w:val="0"/>
                <w:szCs w:val="22"/>
                <w:lang w:eastAsia="en-US" w:bidi="ar-SA"/>
              </w:rPr>
            </w:pPr>
            <w:r>
              <w:rPr>
                <w:rFonts w:eastAsia="Calibri" w:cs=""/>
                <w:b/>
                <w:color w:val="17365D"/>
                <w:kern w:val="0"/>
                <w:sz w:val="18"/>
                <w:szCs w:val="22"/>
                <w:lang w:eastAsia="en-US" w:bidi="ar-SA"/>
              </w:rPr>
              <w:t>Rango presupuestal: $1,369,824 a $1,473,920 MXN.</w:t>
            </w:r>
          </w:p>
        </w:tc>
      </w:tr>
    </w:tbl>
    <w:p>
      <w:pPr>
        <w:pStyle w:val="Normal"/>
        <w:rPr/>
      </w:pPr>
      <w:r>
        <w:rPr>
          <w:rFonts w:eastAsia="Calibri"/>
          <w:i/>
          <w:color w:val="1F1F1F"/>
          <w:sz w:val="21"/>
        </w:rPr>
        <w:t>Nota presupuestal: las cifras no constituyen una oferta económica vinculante ni determinan una modalidad de adjudicación. El tratamiento de IVA, facturación, garantías, calendario de pagos y requisitos fiscales se definirá cuando se acredite la personalidad jurídica y la autoridad establezca el procedimiento aplicable.</w:t>
      </w:r>
    </w:p>
    <w:p>
      <w:pPr>
        <w:pStyle w:val="Heading1"/>
        <w:rPr/>
      </w:pPr>
      <w:r>
        <w:rPr/>
        <w:t>11. Contratación, confidencialidad y propiedad intelectual</w:t>
      </w:r>
    </w:p>
    <w:p>
      <w:pPr>
        <w:pStyle w:val="Normal"/>
        <w:rPr/>
      </w:pPr>
      <w:r>
        <w:rPr>
          <w:rFonts w:eastAsia="Calibri"/>
          <w:i w:val="false"/>
          <w:color w:val="1F1F1F"/>
          <w:sz w:val="21"/>
        </w:rPr>
        <w:t>La eventual adquisición de bienes o contratación de servicios deberá tramitarse conforme al presupuesto autorizado, la investigación de mercado, los montos vigentes y el procedimiento que determine el Municipio. La Ley de Adquisiciones, Enajenaciones, Arrendamientos y Contratación de Servicios del Estado de Querétaro regula las operaciones de los ayuntamientos y reconoce como proveedores tanto a personas físicas como morales [9]. Esta propuesta no presupone adjudicación directa.</w:t>
      </w:r>
    </w:p>
    <w:p>
      <w:pPr>
        <w:pStyle w:val="Normal"/>
        <w:rPr/>
      </w:pPr>
      <w:r>
        <w:rPr>
          <w:rFonts w:eastAsia="Calibri"/>
          <w:i w:val="false"/>
          <w:color w:val="1F1F1F"/>
          <w:sz w:val="21"/>
        </w:rPr>
        <w:t>Antes de compartir código fuente, algoritmos, arquitectura, credenciales, lista detallada de materiales o información municipal reservada, se propone formalizar un convenio de confidencialidad. No se localizó evidencia de un convenio firmado al momento de esta revisión; por tanto, ese documento es un pendiente y no debe afirmarse que ya existe.</w:t>
      </w:r>
    </w:p>
    <w:p>
      <w:pPr>
        <w:pStyle w:val="Normal"/>
        <w:rPr/>
      </w:pPr>
      <w:r>
        <w:rPr>
          <w:rFonts w:eastAsia="Calibri"/>
          <w:i w:val="false"/>
          <w:color w:val="1F1F1F"/>
          <w:sz w:val="21"/>
        </w:rPr>
        <w:t>La titularidad de desarrollos previos, licencias de uso, entregables creados durante el contrato, derechos de modificación, mantenimiento y acceso a repositorios deberán definirse expresamente en el instrumento contractual. Las fuentes académicas se citan sin reproducir contenido protegido.</w:t>
      </w:r>
    </w:p>
    <w:p>
      <w:pPr>
        <w:pStyle w:val="Heading1"/>
        <w:rPr/>
      </w:pPr>
      <w:r>
        <w:rPr/>
        <w:t>12. Alineación con instrumentos de planeación</w:t>
      </w:r>
    </w:p>
    <w:p>
      <w:pPr>
        <w:pStyle w:val="Normal"/>
        <w:rPr/>
      </w:pPr>
      <w:r>
        <w:rPr>
          <w:rFonts w:eastAsia="Calibri"/>
          <w:i w:val="false"/>
          <w:color w:val="1F1F1F"/>
          <w:sz w:val="21"/>
        </w:rPr>
        <w:t>La alineación principal es con el Plan Municipal de Desarrollo 2024-2027, aprobado el 28 de febrero de 2025. El piloto contribuye de forma transversal a los ejes Querétaro Moderno e Innovador, Querétaro Ordenado y Querétaro Amigable con el Medio Ambiente, mediante medición, mejora operativa y reducción potencial de detenciones y consumo [7].</w:t>
      </w:r>
    </w:p>
    <w:p>
      <w:pPr>
        <w:pStyle w:val="Normal"/>
        <w:rPr/>
      </w:pPr>
      <w:r>
        <w:rPr>
          <w:rFonts w:eastAsia="Calibri"/>
          <w:i w:val="false"/>
          <w:color w:val="1F1F1F"/>
          <w:sz w:val="21"/>
        </w:rPr>
        <w:t>El Plan Estatal de Desarrollo Querétaro 2021-2027 y la planeación de largo plazo se consideran referencias complementarias. Las metas, cobertura y cifras de evaluación del proyecto deberán corresponder al ámbito municipal, porque la intervención propuesta se dirige al Municipio de Querétaro [8].</w:t>
      </w:r>
    </w:p>
    <w:p>
      <w:pPr>
        <w:pStyle w:val="Heading1"/>
        <w:rPr/>
      </w:pPr>
      <w:r>
        <w:rPr/>
        <w:t>13. Supuestos y condiciones</w:t>
      </w:r>
    </w:p>
    <w:p>
      <w:pPr>
        <w:pStyle w:val="ListBullet"/>
        <w:numPr>
          <w:ilvl w:val="0"/>
          <w:numId w:val="1"/>
        </w:numPr>
        <w:ind w:left="360" w:hanging="259"/>
        <w:rPr/>
      </w:pPr>
      <w:r>
        <w:rPr>
          <w:rFonts w:eastAsia="Calibri"/>
          <w:color w:val="1F1F1F"/>
          <w:sz w:val="21"/>
        </w:rPr>
        <w:t>La Secretaría de Movilidad seleccionará y autorizará las intersecciones piloto, ventanas de trabajo y responsables de acompañamiento.</w:t>
      </w:r>
    </w:p>
    <w:p>
      <w:pPr>
        <w:pStyle w:val="ListBullet"/>
        <w:numPr>
          <w:ilvl w:val="0"/>
          <w:numId w:val="1"/>
        </w:numPr>
        <w:ind w:left="360" w:hanging="259"/>
        <w:rPr/>
      </w:pPr>
      <w:r>
        <w:rPr>
          <w:rFonts w:eastAsia="Calibri"/>
          <w:color w:val="1F1F1F"/>
          <w:sz w:val="21"/>
        </w:rPr>
        <w:t>El inventario de cámaras, sensores, controladores y datos existentes se validará durante el arranque; no se asume disponibilidad universal.</w:t>
      </w:r>
    </w:p>
    <w:p>
      <w:pPr>
        <w:pStyle w:val="ListBullet"/>
        <w:numPr>
          <w:ilvl w:val="0"/>
          <w:numId w:val="1"/>
        </w:numPr>
        <w:ind w:left="360" w:hanging="259"/>
        <w:rPr/>
      </w:pPr>
      <w:r>
        <w:rPr>
          <w:rFonts w:eastAsia="Calibri"/>
          <w:color w:val="1F1F1F"/>
          <w:sz w:val="21"/>
        </w:rPr>
        <w:t>Ningún cambio se aplicará a infraestructura activa sin revisión, respaldo de configuración y autorización municipal.</w:t>
      </w:r>
    </w:p>
    <w:p>
      <w:pPr>
        <w:pStyle w:val="ListBullet"/>
        <w:numPr>
          <w:ilvl w:val="0"/>
          <w:numId w:val="1"/>
        </w:numPr>
        <w:ind w:left="360" w:hanging="259"/>
        <w:rPr/>
      </w:pPr>
      <w:r>
        <w:rPr>
          <w:rFonts w:eastAsia="Calibri"/>
          <w:color w:val="1F1F1F"/>
          <w:sz w:val="21"/>
        </w:rPr>
        <w:t>Waze for Cities es complementario y depende de aceptación del Municipio como socio; el piloto puede operar con datos autorizados y levantamiento en campo.</w:t>
      </w:r>
    </w:p>
    <w:p>
      <w:pPr>
        <w:pStyle w:val="ListBullet"/>
        <w:numPr>
          <w:ilvl w:val="0"/>
          <w:numId w:val="1"/>
        </w:numPr>
        <w:ind w:left="360" w:hanging="259"/>
        <w:rPr/>
      </w:pPr>
      <w:r>
        <w:rPr>
          <w:rFonts w:eastAsia="Calibri"/>
          <w:color w:val="1F1F1F"/>
          <w:sz w:val="21"/>
        </w:rPr>
        <w:t>Obras, cierres, incidentes, eventos masivos y fallas de energía se registrarán para interpretar correctamente los resultados.</w:t>
      </w:r>
    </w:p>
    <w:p>
      <w:pPr>
        <w:pStyle w:val="ListBullet"/>
        <w:numPr>
          <w:ilvl w:val="0"/>
          <w:numId w:val="1"/>
        </w:numPr>
        <w:ind w:left="360" w:hanging="259"/>
        <w:rPr/>
      </w:pPr>
      <w:r>
        <w:rPr>
          <w:rFonts w:eastAsia="Calibri"/>
          <w:color w:val="1F1F1F"/>
          <w:sz w:val="21"/>
        </w:rPr>
        <w:t>El escalamiento más allá de tres intersecciones requerirá evaluación favorable, cotización actualizada y un procedimiento de contratación independiente o ampliado conforme a derecho.</w:t>
      </w:r>
    </w:p>
    <w:p>
      <w:pPr>
        <w:pStyle w:val="Heading1"/>
        <w:rPr/>
      </w:pPr>
      <w:r>
        <w:rPr/>
        <w:t>14. Referencias</w:t>
      </w:r>
    </w:p>
    <w:p>
      <w:pPr>
        <w:pStyle w:val="Normal"/>
        <w:spacing w:lineRule="auto" w:line="244" w:before="0" w:after="80"/>
        <w:ind w:left="259" w:hanging="259"/>
        <w:rPr/>
      </w:pPr>
      <w:r>
        <w:rPr>
          <w:rFonts w:eastAsia="Calibri"/>
          <w:b/>
          <w:color w:val="1F4E79"/>
          <w:sz w:val="18"/>
        </w:rPr>
        <w:t xml:space="preserve">[1] </w:t>
      </w:r>
      <w:r>
        <w:rPr>
          <w:rFonts w:eastAsia="Calibri"/>
          <w:color w:val="1F1F1F"/>
          <w:sz w:val="18"/>
        </w:rPr>
        <w:t xml:space="preserve">Diario de Querétaro. Modernización de semáforos comenzará en 10 vialidades de la capital queretana, 25 de junio de 2025. </w:t>
      </w:r>
      <w:hyperlink r:id="rId3">
        <w:r>
          <w:rPr>
            <w:color w:val="0563C1"/>
            <w:u w:val="single"/>
          </w:rPr>
          <w:t>https://oem.com.mx/diariodequeretaro/local/modernizacion-de-semaforos-comenzara-en-10-vialidades-de-la-capital-queretana-24432981</w:t>
        </w:r>
      </w:hyperlink>
      <w:r>
        <w:rPr>
          <w:rFonts w:eastAsia="Calibri"/>
          <w:i/>
          <w:color w:val="4F5B66"/>
          <w:sz w:val="18"/>
        </w:rPr>
        <w:t xml:space="preserve"> La nota atribuye los datos al Secretario de Movilidad municipal.</w:t>
      </w:r>
    </w:p>
    <w:p>
      <w:pPr>
        <w:pStyle w:val="Normal"/>
        <w:spacing w:lineRule="auto" w:line="244" w:before="0" w:after="80"/>
        <w:ind w:left="259" w:hanging="259"/>
        <w:rPr/>
      </w:pPr>
      <w:r>
        <w:rPr>
          <w:rFonts w:eastAsia="Calibri"/>
          <w:b/>
          <w:color w:val="1F4E79"/>
          <w:sz w:val="18"/>
        </w:rPr>
        <w:t xml:space="preserve">[2] </w:t>
      </w:r>
      <w:r>
        <w:rPr>
          <w:rFonts w:eastAsia="Calibri"/>
          <w:color w:val="1F1F1F"/>
          <w:sz w:val="18"/>
        </w:rPr>
        <w:t xml:space="preserve">Municipio de Querétaro. Dirección de Gestión para la Movilidad. </w:t>
      </w:r>
      <w:hyperlink r:id="rId4">
        <w:r>
          <w:rPr>
            <w:color w:val="0563C1"/>
            <w:u w:val="single"/>
          </w:rPr>
          <w:t>https://municipiodequeretaro.gob.mx/secretarias/secretaria-de-movilidad/direccion-de-gestion-para-la-movilidad/</w:t>
        </w:r>
      </w:hyperlink>
    </w:p>
    <w:p>
      <w:pPr>
        <w:pStyle w:val="Normal"/>
        <w:spacing w:lineRule="auto" w:line="244" w:before="0" w:after="80"/>
        <w:ind w:left="259" w:hanging="259"/>
        <w:rPr/>
      </w:pPr>
      <w:r>
        <w:rPr>
          <w:rFonts w:eastAsia="Calibri"/>
          <w:b/>
          <w:color w:val="1F4E79"/>
          <w:sz w:val="18"/>
        </w:rPr>
        <w:t xml:space="preserve">[3] </w:t>
      </w:r>
      <w:r>
        <w:rPr>
          <w:rFonts w:eastAsia="Calibri"/>
          <w:color w:val="1F1F1F"/>
          <w:sz w:val="18"/>
        </w:rPr>
        <w:t xml:space="preserve">Federal Highway Administration. Measures of Effectiveness and Validation Guidance for Adaptive Signal Control Technologies. </w:t>
      </w:r>
      <w:hyperlink r:id="rId5">
        <w:r>
          <w:rPr>
            <w:color w:val="0563C1"/>
            <w:u w:val="single"/>
          </w:rPr>
          <w:t>https://ops.fhwa.dot.gov/publications/fhwahop13031/chap1.htm</w:t>
        </w:r>
      </w:hyperlink>
    </w:p>
    <w:p>
      <w:pPr>
        <w:pStyle w:val="Normal"/>
        <w:spacing w:lineRule="auto" w:line="244" w:before="0" w:after="80"/>
        <w:ind w:left="259" w:hanging="259"/>
        <w:rPr/>
      </w:pPr>
      <w:r>
        <w:rPr>
          <w:rFonts w:eastAsia="Calibri"/>
          <w:b/>
          <w:color w:val="1F4E79"/>
          <w:sz w:val="18"/>
        </w:rPr>
        <w:t xml:space="preserve">[4] </w:t>
      </w:r>
      <w:r>
        <w:rPr>
          <w:rFonts w:eastAsia="Calibri"/>
          <w:color w:val="1F1F1F"/>
          <w:sz w:val="18"/>
        </w:rPr>
        <w:t xml:space="preserve">Federal Highway Administration. Traffic Signal Timing Manual, Chapter 9. </w:t>
      </w:r>
      <w:hyperlink r:id="rId6">
        <w:r>
          <w:rPr>
            <w:color w:val="0563C1"/>
            <w:u w:val="single"/>
          </w:rPr>
          <w:t>https://ops.fhwa.dot.gov/publications/fhwahop08024/chapter9.htm</w:t>
        </w:r>
      </w:hyperlink>
    </w:p>
    <w:p>
      <w:pPr>
        <w:pStyle w:val="Normal"/>
        <w:spacing w:lineRule="auto" w:line="244" w:before="0" w:after="80"/>
        <w:ind w:left="259" w:hanging="259"/>
        <w:rPr/>
      </w:pPr>
      <w:r>
        <w:rPr>
          <w:rFonts w:eastAsia="Calibri"/>
          <w:b/>
          <w:color w:val="1F4E79"/>
          <w:sz w:val="18"/>
        </w:rPr>
        <w:t xml:space="preserve">[5] </w:t>
      </w:r>
      <w:r>
        <w:rPr>
          <w:rFonts w:eastAsia="Calibri"/>
          <w:color w:val="1F1F1F"/>
          <w:sz w:val="18"/>
        </w:rPr>
        <w:t xml:space="preserve">Waze. Waze for Cities: requisitos, datos y costo del programa. </w:t>
      </w:r>
      <w:hyperlink r:id="rId7">
        <w:r>
          <w:rPr>
            <w:color w:val="0563C1"/>
            <w:u w:val="single"/>
          </w:rPr>
          <w:t>https://www.waze.com/wazeforcities/</w:t>
        </w:r>
      </w:hyperlink>
    </w:p>
    <w:p>
      <w:pPr>
        <w:pStyle w:val="Normal"/>
        <w:spacing w:lineRule="auto" w:line="244" w:before="0" w:after="80"/>
        <w:ind w:left="259" w:hanging="259"/>
        <w:rPr/>
      </w:pPr>
      <w:r>
        <w:rPr>
          <w:rFonts w:eastAsia="Calibri"/>
          <w:b/>
          <w:color w:val="1F4E79"/>
          <w:sz w:val="18"/>
        </w:rPr>
        <w:t xml:space="preserve">[6] </w:t>
      </w:r>
      <w:r>
        <w:rPr>
          <w:rFonts w:eastAsia="Calibri"/>
          <w:color w:val="1F1F1F"/>
          <w:sz w:val="18"/>
        </w:rPr>
        <w:t xml:space="preserve">IMCO y SinTráfico. El costo de la congestión: vida y recursos perdidos, 2019. </w:t>
      </w:r>
      <w:hyperlink r:id="rId8">
        <w:r>
          <w:rPr>
            <w:color w:val="0563C1"/>
            <w:u w:val="single"/>
          </w:rPr>
          <w:t>https://imco.org.mx/temas/costo-la-congestion-vida-recursos-perdidos/</w:t>
        </w:r>
      </w:hyperlink>
    </w:p>
    <w:p>
      <w:pPr>
        <w:pStyle w:val="Normal"/>
        <w:spacing w:lineRule="auto" w:line="244" w:before="0" w:after="80"/>
        <w:ind w:left="259" w:hanging="259"/>
        <w:rPr/>
      </w:pPr>
      <w:r>
        <w:rPr>
          <w:rFonts w:eastAsia="Calibri"/>
          <w:b/>
          <w:color w:val="1F4E79"/>
          <w:sz w:val="18"/>
        </w:rPr>
        <w:t xml:space="preserve">[7] </w:t>
      </w:r>
      <w:r>
        <w:rPr>
          <w:rFonts w:eastAsia="Calibri"/>
          <w:color w:val="1F1F1F"/>
          <w:sz w:val="18"/>
        </w:rPr>
        <w:t xml:space="preserve">Municipio de Querétaro. Aprueba Ayuntamiento el Plan Municipal de Desarrollo 2024-2027, 28 de febrero de 2025. </w:t>
      </w:r>
      <w:hyperlink r:id="rId9">
        <w:r>
          <w:rPr>
            <w:color w:val="0563C1"/>
            <w:u w:val="single"/>
          </w:rPr>
          <w:t>https://municipiodequeretaro.gob.mx/aprueba-ayuntamiento-de-queretaro-el-plan-municipal-de-desarrollo-2024-2027/</w:t>
        </w:r>
      </w:hyperlink>
    </w:p>
    <w:p>
      <w:pPr>
        <w:pStyle w:val="Normal"/>
        <w:spacing w:lineRule="auto" w:line="244" w:before="0" w:after="80"/>
        <w:ind w:left="259" w:hanging="259"/>
        <w:rPr/>
      </w:pPr>
      <w:r>
        <w:rPr>
          <w:rFonts w:eastAsia="Calibri"/>
          <w:b/>
          <w:color w:val="1F4E79"/>
          <w:sz w:val="18"/>
        </w:rPr>
        <w:t xml:space="preserve">[8] </w:t>
      </w:r>
      <w:r>
        <w:rPr>
          <w:rFonts w:eastAsia="Calibri"/>
          <w:color w:val="1F1F1F"/>
          <w:sz w:val="18"/>
        </w:rPr>
        <w:t xml:space="preserve">Gobierno del Estado de Querétaro. Plan Estatal de Desarrollo Querétaro 2021-2027. </w:t>
      </w:r>
      <w:hyperlink r:id="rId10">
        <w:r>
          <w:rPr>
            <w:color w:val="0563C1"/>
            <w:u w:val="single"/>
          </w:rPr>
          <w:t>https://queretaro.gob.mx/web/sppc</w:t>
        </w:r>
      </w:hyperlink>
    </w:p>
    <w:p>
      <w:pPr>
        <w:pStyle w:val="Normal"/>
        <w:spacing w:lineRule="auto" w:line="244" w:before="0" w:after="80"/>
        <w:ind w:left="259" w:hanging="259"/>
        <w:rPr/>
      </w:pPr>
      <w:r>
        <w:rPr>
          <w:rFonts w:eastAsia="Calibri"/>
          <w:b/>
          <w:color w:val="1F4E79"/>
          <w:sz w:val="18"/>
        </w:rPr>
        <w:t xml:space="preserve">[9] </w:t>
      </w:r>
      <w:r>
        <w:rPr>
          <w:rFonts w:eastAsia="Calibri"/>
          <w:color w:val="1F1F1F"/>
          <w:sz w:val="18"/>
        </w:rPr>
        <w:t xml:space="preserve">Gobierno del Estado de Querétaro. Ley de Adquisiciones, Enajenaciones, Arrendamientos y Contratación de Servicios. </w:t>
      </w:r>
      <w:hyperlink r:id="rId11">
        <w:r>
          <w:rPr>
            <w:color w:val="0563C1"/>
            <w:u w:val="single"/>
          </w:rPr>
          <w:t>https://queretaro.gob.mx/documents/20121/1743648/11_LEY_DE_ADQUISICIONES%2C_ENAJENACIONES%2C_ARRENDAMIENTOS%2BY_CONTRATACI%C3%93N%2B2026.pdf/22d18224-8ab3-f3f7-31c6-58f5737b16d5</w:t>
        </w:r>
      </w:hyperlink>
    </w:p>
    <w:p>
      <w:pPr>
        <w:pStyle w:val="Normal"/>
        <w:spacing w:lineRule="auto" w:line="244" w:before="0" w:after="80"/>
        <w:ind w:left="259" w:hanging="259"/>
        <w:rPr/>
      </w:pPr>
      <w:r>
        <w:rPr>
          <w:rFonts w:eastAsia="Calibri"/>
          <w:b/>
          <w:color w:val="1F4E79"/>
          <w:sz w:val="18"/>
        </w:rPr>
        <w:t xml:space="preserve">[10] </w:t>
      </w:r>
      <w:r>
        <w:rPr>
          <w:rFonts w:eastAsia="Calibri"/>
          <w:color w:val="1F1F1F"/>
          <w:sz w:val="18"/>
        </w:rPr>
        <w:t xml:space="preserve">Gershenson, C. y Rosenblueth, D. A. Self-organizing traffic lights at multiple-street intersections. Complexity, 17(6), 23-39. </w:t>
      </w:r>
      <w:hyperlink r:id="rId12">
        <w:r>
          <w:rPr>
            <w:color w:val="0563C1"/>
            <w:u w:val="single"/>
          </w:rPr>
          <w:t>https://doi.org/10.1002/cplx.20392</w:t>
        </w:r>
      </w:hyperlink>
    </w:p>
    <w:p>
      <w:pPr>
        <w:pStyle w:val="Heading1"/>
        <w:rPr/>
      </w:pPr>
      <w:r>
        <w:rPr/>
        <w:t>15. Contacto</w:t>
      </w:r>
    </w:p>
    <w:tbl>
      <w:tblPr>
        <w:tblStyle w:val="TableGrid"/>
        <w:tblW w:w="9994" w:type="dxa"/>
        <w:jc w:val="left"/>
        <w:tblInd w:w="132" w:type="dxa"/>
        <w:tblLayout w:type="fixed"/>
        <w:tblCellMar>
          <w:top w:w="80" w:type="dxa"/>
          <w:left w:w="120" w:type="dxa"/>
          <w:bottom w:w="80" w:type="dxa"/>
          <w:right w:w="120" w:type="dxa"/>
        </w:tblCellMar>
        <w:tblLook w:firstRow="1" w:noVBand="1" w:lastRow="0" w:firstColumn="1" w:lastColumn="0" w:noHBand="0" w:val="04a0"/>
      </w:tblPr>
      <w:tblGrid>
        <w:gridCol w:w="2600"/>
        <w:gridCol w:w="7393"/>
      </w:tblGrid>
      <w:tr>
        <w:trPr>
          <w:tblHeader w:val="true"/>
        </w:trPr>
        <w:tc>
          <w:tcPr>
            <w:tcW w:w="2600"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9"/>
                <w:szCs w:val="22"/>
                <w:lang w:eastAsia="en-US" w:bidi="ar-SA"/>
              </w:rPr>
              <w:t>Contacto único</w:t>
            </w:r>
          </w:p>
        </w:tc>
        <w:tc>
          <w:tcPr>
            <w:tcW w:w="7393" w:type="dxa"/>
            <w:tcBorders>
              <w:top w:val="single" w:sz="6" w:space="0" w:color="AAB7C4"/>
              <w:left w:val="single" w:sz="6" w:space="0" w:color="AAB7C4"/>
              <w:bottom w:val="single" w:sz="6" w:space="0" w:color="AAB7C4"/>
              <w:right w:val="single" w:sz="6" w:space="0" w:color="AAB7C4"/>
            </w:tcBorders>
            <w:shd w:fill="1F4E79"/>
            <w:vAlign w:val="center"/>
          </w:tcPr>
          <w:p>
            <w:pPr>
              <w:pStyle w:val="Normal"/>
              <w:widowControl/>
              <w:spacing w:lineRule="auto" w:line="240" w:before="0" w:after="0"/>
              <w:jc w:val="center"/>
              <w:rPr>
                <w:rFonts w:cs=""/>
                <w:kern w:val="0"/>
                <w:szCs w:val="22"/>
                <w:lang w:eastAsia="en-US" w:bidi="ar-SA"/>
              </w:rPr>
            </w:pPr>
            <w:r>
              <w:rPr>
                <w:rFonts w:eastAsia="Calibri" w:cs=""/>
                <w:b/>
                <w:color w:val="FFFFFF"/>
                <w:kern w:val="0"/>
                <w:sz w:val="19"/>
                <w:szCs w:val="22"/>
                <w:lang w:eastAsia="en-US" w:bidi="ar-SA"/>
              </w:rPr>
              <w:t>Datos</w:t>
            </w:r>
          </w:p>
        </w:tc>
      </w:tr>
      <w:tr>
        <w:trPr/>
        <w:tc>
          <w:tcPr>
            <w:tcW w:w="2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Oscar Brandon Lara López</w:t>
            </w:r>
          </w:p>
        </w:tc>
        <w:tc>
          <w:tcPr>
            <w:tcW w:w="7393"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Responsable técnico y enlace del proyecto</w:t>
            </w:r>
          </w:p>
        </w:tc>
      </w:tr>
      <w:tr>
        <w:trPr/>
        <w:tc>
          <w:tcPr>
            <w:tcW w:w="2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Correo</w:t>
            </w:r>
          </w:p>
        </w:tc>
        <w:tc>
          <w:tcPr>
            <w:tcW w:w="7393"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branurjoy1095@outlook.com</w:t>
            </w:r>
          </w:p>
        </w:tc>
      </w:tr>
      <w:tr>
        <w:trPr/>
        <w:tc>
          <w:tcPr>
            <w:tcW w:w="2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Teléfono</w:t>
            </w:r>
          </w:p>
        </w:tc>
        <w:tc>
          <w:tcPr>
            <w:tcW w:w="7393"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446 220 9873</w:t>
            </w:r>
          </w:p>
        </w:tc>
      </w:tr>
      <w:tr>
        <w:trPr/>
        <w:tc>
          <w:tcPr>
            <w:tcW w:w="2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Sitio</w:t>
            </w:r>
          </w:p>
        </w:tc>
        <w:tc>
          <w:tcPr>
            <w:tcW w:w="7393"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https://simulation.loopnopalsolutions.xyz/</w:t>
            </w:r>
          </w:p>
        </w:tc>
      </w:tr>
      <w:tr>
        <w:trPr/>
        <w:tc>
          <w:tcPr>
            <w:tcW w:w="2600"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Ubicación</w:t>
            </w:r>
          </w:p>
        </w:tc>
        <w:tc>
          <w:tcPr>
            <w:tcW w:w="7393" w:type="dxa"/>
            <w:tcBorders>
              <w:top w:val="single" w:sz="6" w:space="0" w:color="AAB7C4"/>
              <w:left w:val="single" w:sz="6" w:space="0" w:color="AAB7C4"/>
              <w:bottom w:val="single" w:sz="6" w:space="0" w:color="AAB7C4"/>
              <w:right w:val="single" w:sz="6" w:space="0" w:color="AAB7C4"/>
            </w:tcBorders>
            <w:vAlign w:val="center"/>
          </w:tcPr>
          <w:p>
            <w:pPr>
              <w:pStyle w:val="Normal"/>
              <w:widowControl/>
              <w:spacing w:lineRule="auto" w:line="244" w:before="0" w:after="0"/>
              <w:jc w:val="left"/>
              <w:rPr>
                <w:rFonts w:cs=""/>
                <w:kern w:val="0"/>
                <w:szCs w:val="22"/>
                <w:lang w:eastAsia="en-US" w:bidi="ar-SA"/>
              </w:rPr>
            </w:pPr>
            <w:r>
              <w:rPr>
                <w:rFonts w:eastAsia="Calibri" w:cs=""/>
                <w:color w:val="1F1F1F"/>
                <w:kern w:val="0"/>
                <w:sz w:val="19"/>
                <w:szCs w:val="22"/>
                <w:lang w:eastAsia="en-US" w:bidi="ar-SA"/>
              </w:rPr>
              <w:t>Querétaro, Qro., México</w:t>
            </w:r>
          </w:p>
        </w:tc>
      </w:tr>
    </w:tbl>
    <w:sectPr>
      <w:headerReference w:type="default" r:id="rId13"/>
      <w:footerReference w:type="default" r:id="rId14"/>
      <w:type w:val="nextPage"/>
      <w:pgSz w:w="12240" w:h="15840"/>
      <w:pgMar w:left="1123" w:right="1123" w:gutter="0" w:header="504" w:top="1123" w:footer="504" w:bottom="112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eastAsia="Calibri"/>
        <w:color w:val="4F5B66"/>
        <w:sz w:val="16"/>
      </w:rPr>
      <w:t xml:space="preserve">Loop Nopal Solutions - Propuesta técnica actualizada  |  Página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right"/>
      <w:rPr/>
    </w:pPr>
    <w:r>
      <w:rPr>
        <w:rFonts w:eastAsia="Calibri"/>
        <w:b/>
        <w:color w:val="4F5B66"/>
        <w:sz w:val="16"/>
      </w:rPr>
      <w:t>VERSIÓN PÚBLICA - INFORMACIÓN TÉCNICA RESERVADA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Calibri" w:hAnsi="Calibri" w:eastAsia="ＭＳ 明朝" w:cs=""/>
      <w:color w:val="1F1F1F"/>
      <w:kern w:val="0"/>
      <w:sz w:val="21"/>
      <w:szCs w:val="22"/>
      <w:lang w:val="es-MX"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1F4E79"/>
      <w:sz w:val="32"/>
      <w:szCs w:val="28"/>
      <w:lang w:val="es-MX"/>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1F4E79"/>
      <w:sz w:val="26"/>
      <w:szCs w:val="26"/>
      <w:lang w:val="es-MX"/>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7365D"/>
      <w:sz w:val="23"/>
      <w:lang w:val="es-MX"/>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lang w:val="es-MX"/>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lang w:val="es-MX"/>
    </w:rPr>
  </w:style>
  <w:style w:type="paragraph" w:styleId="ListParagraph">
    <w:name w:val="List Paragraph"/>
    <w:basedOn w:val="Normal"/>
    <w:uiPriority w:val="34"/>
    <w:qFormat/>
    <w:rsid w:val="00fc693f"/>
    <w:pPr>
      <w:spacing w:before="0" w:after="1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00"/>
      <w:ind w:left="720" w:hanging="360"/>
      <w:contextualSpacing/>
    </w:pPr>
    <w:rPr/>
  </w:style>
  <w:style w:type="paragraph" w:styleId="List3">
    <w:name w:val="List Bullet 4"/>
    <w:basedOn w:val="Normal"/>
    <w:uiPriority w:val="99"/>
    <w:unhideWhenUsed/>
    <w:rsid w:val="00326f90"/>
    <w:pPr>
      <w:spacing w:before="0" w:after="100"/>
      <w:ind w:left="1080" w:hanging="360"/>
      <w:contextualSpacing/>
    </w:pPr>
    <w:rPr/>
  </w:style>
  <w:style w:type="paragraph" w:styleId="ListBullet">
    <w:name w:val="List Bullet"/>
    <w:basedOn w:val="Normal"/>
    <w:uiPriority w:val="99"/>
    <w:unhideWhenUsed/>
    <w:qFormat/>
    <w:rsid w:val="00326f90"/>
    <w:pPr>
      <w:numPr>
        <w:ilvl w:val="0"/>
        <w:numId w:val="1"/>
      </w:numPr>
      <w:spacing w:lineRule="auto" w:line="259" w:before="0" w:after="80"/>
      <w:ind w:left="360" w:hanging="259"/>
      <w:contextualSpacing/>
    </w:pPr>
    <w:rPr>
      <w:rFonts w:ascii="Calibri" w:hAnsi="Calibri"/>
      <w:sz w:val="21"/>
    </w:rPr>
  </w:style>
  <w:style w:type="paragraph" w:styleId="ListBullet2">
    <w:name w:val="List Bullet 2"/>
    <w:basedOn w:val="Normal"/>
    <w:uiPriority w:val="99"/>
    <w:unhideWhenUsed/>
    <w:qFormat/>
    <w:rsid w:val="00326f90"/>
    <w:pPr>
      <w:numPr>
        <w:ilvl w:val="0"/>
        <w:numId w:val="2"/>
      </w:numPr>
      <w:spacing w:before="0" w:after="100"/>
      <w:contextualSpacing/>
    </w:pPr>
    <w:rPr/>
  </w:style>
  <w:style w:type="paragraph" w:styleId="ListBullet3">
    <w:name w:val="List Bullet 3"/>
    <w:basedOn w:val="Normal"/>
    <w:uiPriority w:val="99"/>
    <w:unhideWhenUsed/>
    <w:qFormat/>
    <w:rsid w:val="00326f90"/>
    <w:pPr>
      <w:numPr>
        <w:ilvl w:val="0"/>
        <w:numId w:val="3"/>
      </w:numPr>
      <w:spacing w:before="0" w:after="100"/>
      <w:contextualSpacing/>
    </w:pPr>
    <w:rPr/>
  </w:style>
  <w:style w:type="paragraph" w:styleId="ListNumber">
    <w:name w:val="List Number"/>
    <w:basedOn w:val="Normal"/>
    <w:uiPriority w:val="99"/>
    <w:unhideWhenUsed/>
    <w:qFormat/>
    <w:rsid w:val="00326f90"/>
    <w:pPr>
      <w:numPr>
        <w:ilvl w:val="0"/>
        <w:numId w:val="4"/>
      </w:numPr>
      <w:spacing w:lineRule="auto" w:line="259" w:before="0" w:after="80"/>
      <w:ind w:left="360" w:hanging="259"/>
      <w:contextualSpacing/>
    </w:pPr>
    <w:rPr>
      <w:rFonts w:ascii="Calibri" w:hAnsi="Calibri"/>
      <w:sz w:val="21"/>
    </w:rPr>
  </w:style>
  <w:style w:type="paragraph" w:styleId="ListNumber2">
    <w:name w:val="List Number 2"/>
    <w:basedOn w:val="Normal"/>
    <w:uiPriority w:val="99"/>
    <w:unhideWhenUsed/>
    <w:qFormat/>
    <w:rsid w:val="0029639d"/>
    <w:pPr>
      <w:numPr>
        <w:ilvl w:val="0"/>
        <w:numId w:val="5"/>
      </w:numPr>
      <w:spacing w:before="0" w:after="100"/>
      <w:contextualSpacing/>
    </w:pPr>
    <w:rPr/>
  </w:style>
  <w:style w:type="paragraph" w:styleId="ListNumber3">
    <w:name w:val="List Number 3"/>
    <w:basedOn w:val="Normal"/>
    <w:uiPriority w:val="99"/>
    <w:unhideWhenUsed/>
    <w:qFormat/>
    <w:rsid w:val="0029639d"/>
    <w:pPr>
      <w:numPr>
        <w:ilvl w:val="0"/>
        <w:numId w:val="6"/>
      </w:numPr>
      <w:spacing w:before="0" w:after="1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imulation.loopnopalsolutions.xyz/simulaciones/v4" TargetMode="External"/><Relationship Id="rId3" Type="http://schemas.openxmlformats.org/officeDocument/2006/relationships/hyperlink" Target="https://oem.com.mx/diariodequeretaro/local/modernizacion-de-semaforos-comenzara-en-10-vialidades-de-la-capital-queretana-24432981" TargetMode="External"/><Relationship Id="rId4" Type="http://schemas.openxmlformats.org/officeDocument/2006/relationships/hyperlink" Target="https://municipiodequeretaro.gob.mx/secretarias/secretaria-de-movilidad/direccion-de-gestion-para-la-movilidad/" TargetMode="External"/><Relationship Id="rId5" Type="http://schemas.openxmlformats.org/officeDocument/2006/relationships/hyperlink" Target="https://ops.fhwa.dot.gov/publications/fhwahop13031/chap1.htm" TargetMode="External"/><Relationship Id="rId6" Type="http://schemas.openxmlformats.org/officeDocument/2006/relationships/hyperlink" Target="https://ops.fhwa.dot.gov/publications/fhwahop08024/chapter9.htm" TargetMode="External"/><Relationship Id="rId7" Type="http://schemas.openxmlformats.org/officeDocument/2006/relationships/hyperlink" Target="https://www.waze.com/wazeforcities/" TargetMode="External"/><Relationship Id="rId8" Type="http://schemas.openxmlformats.org/officeDocument/2006/relationships/hyperlink" Target="https://imco.org.mx/temas/costo-la-congestion-vida-recursos-perdidos/" TargetMode="External"/><Relationship Id="rId9" Type="http://schemas.openxmlformats.org/officeDocument/2006/relationships/hyperlink" Target="https://municipiodequeretaro.gob.mx/aprueba-ayuntamiento-de-queretaro-el-plan-municipal-de-desarrollo-2024-2027/" TargetMode="External"/><Relationship Id="rId10" Type="http://schemas.openxmlformats.org/officeDocument/2006/relationships/hyperlink" Target="https://queretaro.gob.mx/web/sppc" TargetMode="External"/><Relationship Id="rId11" Type="http://schemas.openxmlformats.org/officeDocument/2006/relationships/hyperlink" Target="https://queretaro.gob.mx/documents/20121/1743648/11_LEY_DE_ADQUISICIONES%2C_ENAJENACIONES%2C_ARRENDAMIENTOS%2BY_CONTRATACI&#211;N%2B2026.pdf/22d18224-8ab3-f3f7-31c6-58f5737b16d5" TargetMode="External"/><Relationship Id="rId12" Type="http://schemas.openxmlformats.org/officeDocument/2006/relationships/hyperlink" Target="https://doi.org/10.1002/cplx.20392"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hyperlink" Target="https://simulation.loopnopalsolutions.xyz/simulaciones/v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Edit_Docx_PLUS/7.4.0.3$Windows_X86_64 LibreOffice_project/</Application>
  <AppVersion>15.0000</AppVersion>
  <Pages>7</Pages>
  <Words>2175</Words>
  <Characters>14104</Characters>
  <CharactersWithSpaces>16048</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Loop Nopal Solutions</dc:creator>
  <dc:description>generated by python-docx</dc:description>
  <cp:keywords>movilidad semáforos piloto Querétaro</cp:keywords>
  <dc:language>en-US</dc:language>
  <cp:lastModifiedBy/>
  <dcterms:modified xsi:type="dcterms:W3CDTF">2026-08-26T03:24:31Z</dcterms:modified>
  <cp:revision>2</cp:revision>
  <dc:subject>Piloto de optimización semafórica para el Municipio de Querétaro</dc:subject>
  <dc:title>Propuesta técnica actualizada - Piloto de control semafórico adaptativo</dc:title>
</cp:coreProperties>
</file>

<file path=docProps/custom.xml><?xml version="1.0" encoding="utf-8"?>
<Properties xmlns="http://schemas.openxmlformats.org/officeDocument/2006/custom-properties" xmlns:vt="http://schemas.openxmlformats.org/officeDocument/2006/docPropsVTypes"/>
</file>