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24A6580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3516CF" w:rsidRPr="003516CF">
        <w:rPr>
          <w:rFonts w:ascii="Arial Narrow" w:hAnsi="Arial Narrow" w:cs="Arial"/>
          <w:sz w:val="28"/>
          <w:szCs w:val="28"/>
        </w:rPr>
        <w:t>CNMI - UNM-EDA Elevate Quantum Cost Share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4EC8EF64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</w:t>
      </w:r>
      <w:r w:rsidR="003516CF">
        <w:rPr>
          <w:rFonts w:ascii="Arial Narrow" w:hAnsi="Arial Narrow" w:cs="Arial"/>
          <w:bCs/>
          <w:sz w:val="28"/>
          <w:szCs w:val="28"/>
        </w:rPr>
        <w:t>50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44B94AE2" w:rsidR="001B3A16" w:rsidRPr="00D07591" w:rsidRDefault="003516CF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Vacuum Systems for Magneto-Optical Traps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56D4E187" w:rsidR="005455F7" w:rsidRPr="00D07591" w:rsidRDefault="003516CF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Increase capacity of Quantum Technician Bootcamp from 4 to 12.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6BFD8017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3516CF" w:rsidRPr="003516CF">
        <w:rPr>
          <w:rFonts w:ascii="Arial Narrow" w:hAnsi="Arial Narrow" w:cs="Arial"/>
          <w:sz w:val="28"/>
          <w:szCs w:val="28"/>
        </w:rPr>
        <w:t>60</w:t>
      </w:r>
      <w:r w:rsidR="003516CF">
        <w:rPr>
          <w:rFonts w:ascii="Arial Narrow" w:hAnsi="Arial Narrow" w:cs="Arial"/>
          <w:sz w:val="28"/>
          <w:szCs w:val="28"/>
        </w:rPr>
        <w:t>,</w:t>
      </w:r>
      <w:r w:rsidR="003516CF" w:rsidRPr="003516CF">
        <w:rPr>
          <w:rFonts w:ascii="Arial Narrow" w:hAnsi="Arial Narrow" w:cs="Arial"/>
          <w:sz w:val="28"/>
          <w:szCs w:val="28"/>
        </w:rPr>
        <w:t>163.92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022EE865" w:rsidR="001B3A16" w:rsidRDefault="003516CF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Based on direct quote per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53C58BB0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Edwards / Atlas-Copa</w:t>
      </w:r>
    </w:p>
    <w:p w14:paraId="3464048A" w14:textId="6BFBD932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Edwards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6888B3C2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3516CF" w:rsidRP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60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,</w:t>
      </w:r>
      <w:r w:rsidR="003516CF" w:rsidRP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163.92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04C86" w14:textId="77777777" w:rsidR="007A690B" w:rsidRDefault="007A690B" w:rsidP="00CC6963">
      <w:pPr>
        <w:spacing w:after="0" w:line="240" w:lineRule="auto"/>
      </w:pPr>
      <w:r>
        <w:separator/>
      </w:r>
    </w:p>
  </w:endnote>
  <w:endnote w:type="continuationSeparator" w:id="0">
    <w:p w14:paraId="35FB15C7" w14:textId="77777777" w:rsidR="007A690B" w:rsidRDefault="007A690B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48D77" w14:textId="77777777" w:rsidR="007A690B" w:rsidRDefault="007A690B" w:rsidP="00CC6963">
      <w:pPr>
        <w:spacing w:after="0" w:line="240" w:lineRule="auto"/>
      </w:pPr>
      <w:r>
        <w:separator/>
      </w:r>
    </w:p>
  </w:footnote>
  <w:footnote w:type="continuationSeparator" w:id="0">
    <w:p w14:paraId="33EDB863" w14:textId="77777777" w:rsidR="007A690B" w:rsidRDefault="007A690B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7A690B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E32DB8"/>
    <w:rsid w:val="00E51EAE"/>
    <w:rsid w:val="00ED669A"/>
    <w:rsid w:val="00EE5FFB"/>
    <w:rsid w:val="00F07F0C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2025-09-02T20:46:00Z</dcterms:created>
  <dcterms:modified xsi:type="dcterms:W3CDTF">2025-09-02T20:50:00Z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