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Anthropocene: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The contemporary(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36"/>
          <w:szCs w:val="36"/>
          <w:rtl w:val="0"/>
        </w:rPr>
        <w:t xml:space="preserve">current time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) conjecture(</w:t>
      </w:r>
      <w:r w:rsidDel="00000000" w:rsidR="00000000" w:rsidRPr="00000000">
        <w:rPr>
          <w:rFonts w:ascii="Calibri" w:cs="Calibri" w:eastAsia="Calibri" w:hAnsi="Calibri"/>
          <w:b w:val="1"/>
          <w:color w:val="4a86e8"/>
          <w:sz w:val="36"/>
          <w:szCs w:val="36"/>
          <w:rtl w:val="0"/>
        </w:rPr>
        <w:t xml:space="preserve">guess not based on proof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The proposed current geological epoch in which humans are the primary cause of permanent planetary change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Age of Humans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Crutzen and Stoermer (2000)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, The “Anthropocene”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Notable changes: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expansion of mankind in the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36"/>
          <w:szCs w:val="36"/>
          <w:rtl w:val="0"/>
        </w:rPr>
        <w:t xml:space="preserve">past three centuries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in numbers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36"/>
          <w:szCs w:val="36"/>
          <w:rtl w:val="0"/>
        </w:rPr>
        <w:t xml:space="preserve">a ten-fold increase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urbanization has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36"/>
          <w:szCs w:val="36"/>
          <w:rtl w:val="0"/>
        </w:rPr>
        <w:t xml:space="preserve">increased tenfold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36"/>
          <w:szCs w:val="36"/>
          <w:rtl w:val="0"/>
        </w:rPr>
        <w:t xml:space="preserve">in the past century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per capita exploitation of earth’s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emission of CO2, SO2, NO, CO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→The “Anthropocene” – the central role of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humans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Date: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The dating debate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Crutzen and Stoermer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– industrialization(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18th century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→CO2 increased from 270-275 ppm to 310 ppm in the 1950s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Steffen→ 1950s syndrome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→big development→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”Great Acceleration”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→from linear to exponential graph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Stratigraphic Signatures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The Anthropocene Working Group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 Quaternary Stratigraphy→International Commission on Stratigraphy →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International Union of Geological Sciences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Evidence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→new materials, such as elemental aluminum, concrete, plastic, and carbon particles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→alterations in the processes of sediment creation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→altered geochemical signals in sediments and ice sheets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→increases in nitrogen and phosphorus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→alterations in biodiversity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color w:val="ff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“The Anthropocene is functionally and stratigraphically  different from the Holocene”(Waters et al.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20" w:firstLine="0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left="720" w:firstLine="0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