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Urbanocene: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Myint (2018):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a transformation from the Anthropocene to the Urbanocene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Lussault (2020):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Anthropocene as the Urbanocene; a spectacular evolution of the earth system, with urbanization as a primary driver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Population: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2007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– the urban population of the world surpassed the rural population (World Urbanization Prospects,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0" w:firstLine="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1950 – 30%; 2018 – 55%; BY 2050 – 68%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(World Urbanization Prospects,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Shifting geographies of urbanization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size (and also numbers) matters…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cities are bigger than at any other time in terms of their physical extent, population sizes, economic importance, and environmental impacts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Seto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et al., 2010)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Shifting geographies: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The world’s largest internal migration of rural people to urban areas has been happening on a remarkable scale in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Asian countries since 1990s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Between 1990 and 2017 China was the leading rural out-migrating society in the world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(falling from 73.56 to 42.04 per cent of the total population), followed by SE Asia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The sharp decline in Thailand’s rural population, from 80% in 1960 to 48.46% cent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1900 – 2017: Indonesia (from 69.42 to 45.34 percent) and Malaysia (halving from 50.21 to 24.55 percent) 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By 2030: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India is projected to surpass that of China, with its urban population nearly doubling from today’s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 350 million to 611 million and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with an addition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of 26 cities of one million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Peri-Urbanization: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Cities grow by consuming natural bodies on their boundaries, hence lacking the necessary infrastructure. Cities and nature are supposed to be interdependent, but it turns out to be a truncated selfish relationship with lots of cyclic implications.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